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885" w:rsidRDefault="001A5885" w:rsidP="001A5885">
      <w:pPr>
        <w:spacing w:after="0" w:line="4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5885" w:rsidRPr="00621FF1" w:rsidRDefault="001A5885" w:rsidP="001A588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55BC">
        <w:rPr>
          <w:rFonts w:ascii="Times New Roman" w:hAnsi="Times New Roman" w:cs="Times New Roman"/>
          <w:sz w:val="24"/>
          <w:szCs w:val="24"/>
        </w:rPr>
        <w:t xml:space="preserve">РОЛЬ КОГНИТИВНОЙ МЕТАФОРЫ В ПРОЦЕССЕ ОПОЗНАВАНИЯ </w:t>
      </w:r>
    </w:p>
    <w:p w:rsidR="001A5885" w:rsidRPr="006555BC" w:rsidRDefault="001A5885" w:rsidP="001A588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55BC">
        <w:rPr>
          <w:rFonts w:ascii="Times New Roman" w:hAnsi="Times New Roman" w:cs="Times New Roman"/>
          <w:sz w:val="24"/>
          <w:szCs w:val="24"/>
        </w:rPr>
        <w:t xml:space="preserve">ИНОЯЗЫЧНЫХ ФРАЗЕОЛОГИЗМОВ, ПОСЛОВНО ПЕРЕВЕДЁННЫХ </w:t>
      </w:r>
      <w:r w:rsidRPr="006555BC">
        <w:rPr>
          <w:rFonts w:ascii="Times New Roman" w:hAnsi="Times New Roman" w:cs="Times New Roman"/>
          <w:sz w:val="24"/>
          <w:szCs w:val="24"/>
        </w:rPr>
        <w:br/>
        <w:t>НА ЯЗЫК НОСИТЕЛЯ</w:t>
      </w:r>
    </w:p>
    <w:p w:rsidR="001A5885" w:rsidRPr="006555BC" w:rsidRDefault="001A5885" w:rsidP="001A588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885" w:rsidRPr="006555BC" w:rsidRDefault="001A5885" w:rsidP="001A588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55BC">
        <w:rPr>
          <w:rFonts w:ascii="Times New Roman" w:hAnsi="Times New Roman" w:cs="Times New Roman"/>
          <w:sz w:val="24"/>
          <w:szCs w:val="24"/>
        </w:rPr>
        <w:t>Е.Б. Трофимова</w:t>
      </w:r>
    </w:p>
    <w:p w:rsidR="001A5885" w:rsidRPr="009C4229" w:rsidRDefault="001A5885" w:rsidP="001A5885">
      <w:pPr>
        <w:spacing w:after="0" w:line="4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t xml:space="preserve">Когнитивная парадигма, в шестидесятые годы прошлого столетия вторгнувшаяся в целый ряд научных дисциплин – лингвистику, психологию, высшую нервную деятельность, </w:t>
      </w:r>
      <w:r w:rsidRPr="00621FF1">
        <w:rPr>
          <w:rFonts w:ascii="Times New Roman" w:hAnsi="Times New Roman" w:cs="Times New Roman"/>
          <w:sz w:val="28"/>
          <w:szCs w:val="28"/>
        </w:rPr>
        <w:softHyphen/>
      </w:r>
      <w:r w:rsidRPr="00621FF1">
        <w:rPr>
          <w:rFonts w:ascii="Times New Roman" w:hAnsi="Times New Roman" w:cs="Times New Roman"/>
          <w:sz w:val="28"/>
          <w:szCs w:val="28"/>
        </w:rPr>
        <w:softHyphen/>
      </w:r>
      <w:r w:rsidRPr="00621FF1">
        <w:rPr>
          <w:rFonts w:ascii="Times New Roman" w:hAnsi="Times New Roman" w:cs="Times New Roman"/>
          <w:sz w:val="28"/>
          <w:szCs w:val="28"/>
        </w:rPr>
        <w:softHyphen/>
        <w:t xml:space="preserve">- но так и не объединившая их, породила огромное количество вопросов, которые до сих пор по большей части остаются открытыми. Сложившаяся в данной области ситуация особого удивления не вызывает, поскольку любая когнитивная дисциплина в качестве одной из своих составляющих включает сознание – объект, относящийся к категории </w:t>
      </w:r>
      <w:r w:rsidRPr="00621FF1">
        <w:rPr>
          <w:rFonts w:ascii="Times New Roman" w:hAnsi="Times New Roman" w:cs="Times New Roman"/>
          <w:i/>
          <w:sz w:val="28"/>
          <w:szCs w:val="28"/>
        </w:rPr>
        <w:t>чёрных ящиков</w:t>
      </w:r>
      <w:r w:rsidRPr="00621FF1">
        <w:rPr>
          <w:rFonts w:ascii="Times New Roman" w:hAnsi="Times New Roman" w:cs="Times New Roman"/>
          <w:sz w:val="28"/>
          <w:szCs w:val="28"/>
        </w:rPr>
        <w:t xml:space="preserve">, закрытых для непосредственного наблюдения. К числу </w:t>
      </w:r>
      <w:r w:rsidRPr="00621FF1">
        <w:rPr>
          <w:rFonts w:ascii="Times New Roman" w:hAnsi="Times New Roman" w:cs="Times New Roman"/>
          <w:i/>
          <w:sz w:val="28"/>
          <w:szCs w:val="28"/>
        </w:rPr>
        <w:t>чёрных ящиков</w:t>
      </w:r>
      <w:r w:rsidRPr="00621FF1">
        <w:rPr>
          <w:rFonts w:ascii="Times New Roman" w:hAnsi="Times New Roman" w:cs="Times New Roman"/>
          <w:sz w:val="28"/>
          <w:szCs w:val="28"/>
        </w:rPr>
        <w:t xml:space="preserve"> относится не только со</w:t>
      </w:r>
      <w:r>
        <w:rPr>
          <w:rFonts w:ascii="Times New Roman" w:hAnsi="Times New Roman" w:cs="Times New Roman"/>
          <w:sz w:val="28"/>
          <w:szCs w:val="28"/>
        </w:rPr>
        <w:t>знание, но и язык.</w:t>
      </w:r>
      <w:r w:rsidRPr="00621FF1">
        <w:rPr>
          <w:rFonts w:ascii="Times New Roman" w:hAnsi="Times New Roman" w:cs="Times New Roman"/>
          <w:sz w:val="28"/>
          <w:szCs w:val="28"/>
        </w:rPr>
        <w:t xml:space="preserve"> Анализ статей, опубликованных в «Вопросах философии» в период 2005-2014 годов, обнаруживает, что большая часть из них посвящена онтологии сознания, причём значительная часть включает в текст или даже в название статьи словосочетание </w:t>
      </w:r>
      <w:r w:rsidRPr="00621FF1">
        <w:rPr>
          <w:rFonts w:ascii="Times New Roman" w:hAnsi="Times New Roman" w:cs="Times New Roman"/>
          <w:i/>
          <w:sz w:val="28"/>
          <w:szCs w:val="28"/>
        </w:rPr>
        <w:t>тайны сознания</w:t>
      </w:r>
      <w:r w:rsidRPr="00621FF1">
        <w:rPr>
          <w:rFonts w:ascii="Times New Roman" w:hAnsi="Times New Roman" w:cs="Times New Roman"/>
          <w:sz w:val="28"/>
          <w:szCs w:val="28"/>
        </w:rPr>
        <w:t xml:space="preserve">. Н. Д. Арутюнова обратила внимание ещё на одну «тайну» в области когнитивной науки – тайну когнитивной метафоры. У. Чейф отмечает, что в языке наиболее тесно с сознанием связана лексическая и синтаксическая семантика, однако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21FF1">
        <w:rPr>
          <w:rFonts w:ascii="Times New Roman" w:hAnsi="Times New Roman" w:cs="Times New Roman"/>
          <w:sz w:val="28"/>
          <w:szCs w:val="28"/>
        </w:rPr>
        <w:t>степень вариативности при отражении одной и той же мыслительной структуры весьма значительна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21FF1">
        <w:rPr>
          <w:rFonts w:ascii="Times New Roman" w:hAnsi="Times New Roman" w:cs="Times New Roman"/>
          <w:sz w:val="28"/>
          <w:szCs w:val="28"/>
        </w:rPr>
        <w:t xml:space="preserve"> [Чейф 1975: 98]. Таким образом, автор подчёркивает языковую вариативность при отсутствии таковой в области ментального лексикона. Если Чейф прав, то открытым остаётся вопрос о представленности метафоры в ментальном лексиконе. Джордж Лакофф рассматривает данную ситуацию с других позиций, чем Чейф. Его логика опирается на конкретные примеры, извлечённые из практики общения представителей разных этносов. Автор сознательно отбирает языки, наиболее отдалённые друг от друга: английский и </w:t>
      </w:r>
      <w:proofErr w:type="spellStart"/>
      <w:r w:rsidRPr="00621FF1">
        <w:rPr>
          <w:rFonts w:ascii="Times New Roman" w:hAnsi="Times New Roman" w:cs="Times New Roman"/>
          <w:sz w:val="28"/>
          <w:szCs w:val="28"/>
        </w:rPr>
        <w:t>микстек</w:t>
      </w:r>
      <w:proofErr w:type="spellEnd"/>
      <w:r w:rsidRPr="00621FF1">
        <w:rPr>
          <w:rFonts w:ascii="Times New Roman" w:hAnsi="Times New Roman" w:cs="Times New Roman"/>
          <w:sz w:val="28"/>
          <w:szCs w:val="28"/>
        </w:rPr>
        <w:t xml:space="preserve">. Концептуальное различие между ними не подвергается сомнению. Тем не менее, как отмечает Лакофф, люди способны понимать обе эти системы, сохраняя в то же время две различные концептуальные организации. И далее идёт самый главный вывод автора, связанный с соотнесённостью когнитивной и языковой системы. «Однако если понимание другой концептуальной системы рассматривается как перевод в единую </w:t>
      </w:r>
      <w:r w:rsidRPr="00621FF1">
        <w:rPr>
          <w:rFonts w:ascii="Times New Roman" w:hAnsi="Times New Roman" w:cs="Times New Roman"/>
          <w:sz w:val="28"/>
          <w:szCs w:val="28"/>
        </w:rPr>
        <w:lastRenderedPageBreak/>
        <w:t>символическую систему, то различие в организации двух концептуальных систем будет утеряно в переводе, поскольку единая концептуальная система может иметь только одну такую организацию» [Лакофф 2004: 447</w:t>
      </w:r>
      <w:r w:rsidRPr="001A5885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1A5885" w:rsidRPr="00621FF1" w:rsidRDefault="001A5885" w:rsidP="001A5885">
      <w:pPr>
        <w:spacing w:after="0" w:line="4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t xml:space="preserve">Итак, если даже первичные номинации в разных языках обслуживаются различными концептуальными системами, то при вторичном </w:t>
      </w:r>
      <w:proofErr w:type="spellStart"/>
      <w:r w:rsidRPr="00621FF1">
        <w:rPr>
          <w:rFonts w:ascii="Times New Roman" w:hAnsi="Times New Roman" w:cs="Times New Roman"/>
          <w:sz w:val="28"/>
          <w:szCs w:val="28"/>
        </w:rPr>
        <w:t>номинировании</w:t>
      </w:r>
      <w:proofErr w:type="spellEnd"/>
      <w:r w:rsidRPr="00621FF1">
        <w:rPr>
          <w:rFonts w:ascii="Times New Roman" w:hAnsi="Times New Roman" w:cs="Times New Roman"/>
          <w:sz w:val="28"/>
          <w:szCs w:val="28"/>
        </w:rPr>
        <w:t xml:space="preserve"> это различие тем более должно сохраняться, что вовсе не означает отсутствие возможности некоторого пересечения их в ментальной сфере. Насколько в данном случае возможна перекодировка на ментальном уровне, способная обеспечить опознавание иноязычных единиц при переводе? Далее данный вопрос будет рассматриваться на материале вторично номинированных единиц, преимущественно фразеологизмов.</w:t>
      </w:r>
    </w:p>
    <w:p w:rsidR="001A5885" w:rsidRPr="00621FF1" w:rsidRDefault="001A5885" w:rsidP="001A5885">
      <w:pPr>
        <w:spacing w:after="0" w:line="4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t>В Бийском гуманитарно-педагогическом университете уже в течение тринадцати лет работает Лаборатория антропоцентрической типологии языка, одним из приоритетных направлений в которой является исследование процессов опознавания вторично номинированных языковых единиц. В качестве материала исследования используются образные выражения русского, китайского, английского, корейского и монгольского языков [</w:t>
      </w:r>
      <w:proofErr w:type="spellStart"/>
      <w:r w:rsidRPr="00621FF1">
        <w:rPr>
          <w:rFonts w:ascii="Times New Roman" w:hAnsi="Times New Roman" w:cs="Times New Roman"/>
          <w:sz w:val="28"/>
          <w:szCs w:val="28"/>
        </w:rPr>
        <w:t>Грянкина</w:t>
      </w:r>
      <w:proofErr w:type="spellEnd"/>
      <w:r w:rsidRPr="00621FF1">
        <w:rPr>
          <w:rFonts w:ascii="Times New Roman" w:hAnsi="Times New Roman" w:cs="Times New Roman"/>
          <w:sz w:val="28"/>
          <w:szCs w:val="28"/>
        </w:rPr>
        <w:t xml:space="preserve"> 2004; Трофимова, Тюкина 2015; Трофимова, Пелевина 2014]. </w:t>
      </w:r>
    </w:p>
    <w:p w:rsidR="001A5885" w:rsidRPr="00621FF1" w:rsidRDefault="001A5885" w:rsidP="001A5885">
      <w:pPr>
        <w:spacing w:after="0" w:line="4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t xml:space="preserve">Первоначально мы опирались на традиционные термины фразеологии, такие как внутренняя форма фразеологизма, </w:t>
      </w:r>
      <w:proofErr w:type="spellStart"/>
      <w:r w:rsidRPr="00621FF1">
        <w:rPr>
          <w:rFonts w:ascii="Times New Roman" w:hAnsi="Times New Roman" w:cs="Times New Roman"/>
          <w:sz w:val="28"/>
          <w:szCs w:val="28"/>
        </w:rPr>
        <w:t>идиоматичность</w:t>
      </w:r>
      <w:proofErr w:type="spellEnd"/>
      <w:r w:rsidRPr="00621FF1">
        <w:rPr>
          <w:rFonts w:ascii="Times New Roman" w:hAnsi="Times New Roman" w:cs="Times New Roman"/>
          <w:sz w:val="28"/>
          <w:szCs w:val="28"/>
        </w:rPr>
        <w:t xml:space="preserve">, фразеологический образ. Однако позднее при описании стратегий опознавания значений фразеологизмов было введено понятие </w:t>
      </w:r>
      <w:r w:rsidRPr="00621FF1">
        <w:rPr>
          <w:rFonts w:ascii="Times New Roman" w:hAnsi="Times New Roman" w:cs="Times New Roman"/>
          <w:i/>
          <w:sz w:val="28"/>
          <w:szCs w:val="28"/>
        </w:rPr>
        <w:t>межъязыковая образность</w:t>
      </w:r>
      <w:r w:rsidRPr="00621FF1">
        <w:rPr>
          <w:rFonts w:ascii="Times New Roman" w:hAnsi="Times New Roman" w:cs="Times New Roman"/>
          <w:sz w:val="28"/>
          <w:szCs w:val="28"/>
        </w:rPr>
        <w:t xml:space="preserve">, под которой понималась соотнесённость представлений, возникающих в сознании разноязычных носителей при восприятии фразеологических единиц. Наличие такой соотнесенности влияет на успешность опознавания идиом. Так, при восприятии английского фразеологизма </w:t>
      </w:r>
      <w:proofErr w:type="spellStart"/>
      <w:r w:rsidRPr="00621FF1">
        <w:rPr>
          <w:rFonts w:ascii="Times New Roman" w:hAnsi="Times New Roman" w:cs="Times New Roman"/>
          <w:i/>
          <w:iCs/>
          <w:sz w:val="28"/>
          <w:szCs w:val="28"/>
        </w:rPr>
        <w:t>plough</w:t>
      </w:r>
      <w:proofErr w:type="spellEnd"/>
      <w:r w:rsidRPr="00621FF1">
        <w:rPr>
          <w:rFonts w:ascii="Times New Roman" w:hAnsi="Times New Roman" w:cs="Times New Roman"/>
          <w:i/>
          <w:iCs/>
          <w:sz w:val="28"/>
          <w:szCs w:val="28"/>
        </w:rPr>
        <w:t xml:space="preserve"> the </w:t>
      </w:r>
      <w:proofErr w:type="spellStart"/>
      <w:r w:rsidRPr="00621FF1">
        <w:rPr>
          <w:rFonts w:ascii="Times New Roman" w:hAnsi="Times New Roman" w:cs="Times New Roman"/>
          <w:i/>
          <w:iCs/>
          <w:sz w:val="28"/>
          <w:szCs w:val="28"/>
        </w:rPr>
        <w:t>sand</w:t>
      </w:r>
      <w:proofErr w:type="spellEnd"/>
      <w:r w:rsidRPr="00621FF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21FF1">
        <w:rPr>
          <w:rFonts w:ascii="Times New Roman" w:hAnsi="Times New Roman" w:cs="Times New Roman"/>
          <w:sz w:val="28"/>
          <w:szCs w:val="28"/>
        </w:rPr>
        <w:t xml:space="preserve">(букв. </w:t>
      </w:r>
      <w:r w:rsidRPr="00621FF1">
        <w:rPr>
          <w:rFonts w:ascii="Times New Roman" w:hAnsi="Times New Roman" w:cs="Times New Roman"/>
          <w:i/>
          <w:iCs/>
          <w:sz w:val="28"/>
          <w:szCs w:val="28"/>
        </w:rPr>
        <w:t>пахать песок</w:t>
      </w:r>
      <w:r w:rsidRPr="00621FF1">
        <w:rPr>
          <w:rFonts w:ascii="Times New Roman" w:hAnsi="Times New Roman" w:cs="Times New Roman"/>
          <w:sz w:val="28"/>
          <w:szCs w:val="28"/>
        </w:rPr>
        <w:t xml:space="preserve">) правильно определили русский аналог </w:t>
      </w:r>
      <w:r w:rsidRPr="00621FF1">
        <w:rPr>
          <w:rFonts w:ascii="Times New Roman" w:hAnsi="Times New Roman" w:cs="Times New Roman"/>
          <w:i/>
          <w:iCs/>
          <w:sz w:val="28"/>
          <w:szCs w:val="28"/>
        </w:rPr>
        <w:t>носить воду решетом</w:t>
      </w:r>
      <w:r w:rsidRPr="00621FF1">
        <w:rPr>
          <w:rFonts w:ascii="Times New Roman" w:hAnsi="Times New Roman" w:cs="Times New Roman"/>
          <w:sz w:val="28"/>
          <w:szCs w:val="28"/>
        </w:rPr>
        <w:t xml:space="preserve"> 84% реципиентов, несмотря на расхождение внутренней формы русской и английской идиомы. Позднее это понятие получило развёрнутое описание: «</w:t>
      </w:r>
      <w:r w:rsidRPr="00621FF1">
        <w:rPr>
          <w:rFonts w:ascii="Times New Roman" w:eastAsia="Times New Roman" w:hAnsi="Times New Roman" w:cs="Times New Roman"/>
          <w:sz w:val="28"/>
          <w:szCs w:val="28"/>
        </w:rPr>
        <w:t>общность представлений (в форме образов, картин, фреймов и т.д.), возникающих у иноязычного носителя, не владеющего данным языком, при предъявлении языковых единиц сложной структуры, таких как фразеологизмы</w:t>
      </w:r>
      <w:r w:rsidRPr="00621FF1">
        <w:rPr>
          <w:rFonts w:ascii="Times New Roman" w:hAnsi="Times New Roman" w:cs="Times New Roman"/>
          <w:sz w:val="28"/>
          <w:szCs w:val="28"/>
        </w:rPr>
        <w:t xml:space="preserve">» [Трофимова 2006: 302]. Расширение данного термина было обусловлено выходом за пределы значений иноязычных фразеологизмов в зону более разнообразной вторичной номинации, например, сложных номинативных образований, которые </w:t>
      </w:r>
      <w:r w:rsidRPr="00621FF1">
        <w:rPr>
          <w:rFonts w:ascii="Times New Roman" w:hAnsi="Times New Roman" w:cs="Times New Roman"/>
          <w:sz w:val="28"/>
          <w:szCs w:val="28"/>
        </w:rPr>
        <w:lastRenderedPageBreak/>
        <w:t>анализировались с применением аналогичной методики [</w:t>
      </w:r>
      <w:proofErr w:type="spellStart"/>
      <w:r w:rsidRPr="00621FF1">
        <w:rPr>
          <w:rFonts w:ascii="Times New Roman" w:hAnsi="Times New Roman" w:cs="Times New Roman"/>
          <w:sz w:val="28"/>
          <w:szCs w:val="28"/>
        </w:rPr>
        <w:t>Кармацкая</w:t>
      </w:r>
      <w:proofErr w:type="spellEnd"/>
      <w:r w:rsidRPr="00621FF1">
        <w:rPr>
          <w:rFonts w:ascii="Times New Roman" w:hAnsi="Times New Roman" w:cs="Times New Roman"/>
          <w:sz w:val="28"/>
          <w:szCs w:val="28"/>
        </w:rPr>
        <w:t xml:space="preserve"> 2007]. Таким образом, фразеологическая образность получила уровневую интерпретацию как внутриязыковая и межъязыковая, причем последняя представляет явление более высокого уровня абстрактности и с трудом вербализуется исследователем. Этот феномен может быть описан в модели: актуальные фразеологические значения </w:t>
      </w:r>
      <w:r w:rsidRPr="00621FF1">
        <w:rPr>
          <w:rFonts w:ascii="Times New Roman" w:hAnsi="Times New Roman" w:cs="Times New Roman"/>
          <w:sz w:val="28"/>
          <w:szCs w:val="28"/>
        </w:rPr>
        <w:sym w:font="Wingdings 3" w:char="F0A8"/>
      </w:r>
      <w:r w:rsidRPr="00621FF1">
        <w:rPr>
          <w:rFonts w:ascii="Times New Roman" w:hAnsi="Times New Roman" w:cs="Times New Roman"/>
          <w:sz w:val="28"/>
          <w:szCs w:val="28"/>
        </w:rPr>
        <w:t xml:space="preserve"> межъязыковая образность </w:t>
      </w:r>
      <w:r w:rsidRPr="00621FF1">
        <w:rPr>
          <w:rFonts w:ascii="Times New Roman" w:hAnsi="Times New Roman" w:cs="Times New Roman"/>
          <w:sz w:val="28"/>
          <w:szCs w:val="28"/>
        </w:rPr>
        <w:sym w:font="Wingdings 3" w:char="F0A8"/>
      </w:r>
      <w:r w:rsidRPr="00621FF1">
        <w:rPr>
          <w:rFonts w:ascii="Times New Roman" w:hAnsi="Times New Roman" w:cs="Times New Roman"/>
          <w:sz w:val="28"/>
          <w:szCs w:val="28"/>
        </w:rPr>
        <w:t xml:space="preserve"> фразеологический образ (например, ‘бессмысленность, безрезультатность усилий’ </w:t>
      </w:r>
      <w:r w:rsidRPr="00621FF1">
        <w:rPr>
          <w:rFonts w:ascii="Times New Roman" w:hAnsi="Times New Roman" w:cs="Times New Roman"/>
          <w:sz w:val="28"/>
          <w:szCs w:val="28"/>
        </w:rPr>
        <w:sym w:font="Wingdings 3" w:char="F0A8"/>
      </w:r>
      <w:r w:rsidRPr="00621FF1">
        <w:rPr>
          <w:rFonts w:ascii="Times New Roman" w:hAnsi="Times New Roman" w:cs="Times New Roman"/>
          <w:sz w:val="28"/>
          <w:szCs w:val="28"/>
        </w:rPr>
        <w:t xml:space="preserve"> кит. </w:t>
      </w:r>
      <w:r w:rsidRPr="00621FF1">
        <w:rPr>
          <w:rFonts w:ascii="Times New Roman" w:hAnsi="Times New Roman" w:cs="Times New Roman"/>
          <w:i/>
          <w:iCs/>
          <w:sz w:val="28"/>
          <w:szCs w:val="28"/>
        </w:rPr>
        <w:t>играть на лютне перед быком</w:t>
      </w:r>
      <w:r w:rsidRPr="00621FF1">
        <w:rPr>
          <w:rFonts w:ascii="Times New Roman" w:hAnsi="Times New Roman" w:cs="Times New Roman"/>
          <w:sz w:val="28"/>
          <w:szCs w:val="28"/>
        </w:rPr>
        <w:t xml:space="preserve"> - русск. </w:t>
      </w:r>
      <w:r w:rsidRPr="00621FF1">
        <w:rPr>
          <w:rFonts w:ascii="Times New Roman" w:hAnsi="Times New Roman" w:cs="Times New Roman"/>
          <w:i/>
          <w:iCs/>
          <w:sz w:val="28"/>
          <w:szCs w:val="28"/>
        </w:rPr>
        <w:t>метать бисер перед свиньями</w:t>
      </w:r>
      <w:r w:rsidRPr="00621FF1">
        <w:rPr>
          <w:rFonts w:ascii="Times New Roman" w:hAnsi="Times New Roman" w:cs="Times New Roman"/>
          <w:sz w:val="28"/>
          <w:szCs w:val="28"/>
        </w:rPr>
        <w:t xml:space="preserve">; русск. </w:t>
      </w:r>
      <w:r w:rsidRPr="00621FF1">
        <w:rPr>
          <w:rFonts w:ascii="Times New Roman" w:hAnsi="Times New Roman" w:cs="Times New Roman"/>
          <w:i/>
          <w:iCs/>
          <w:sz w:val="28"/>
          <w:szCs w:val="28"/>
        </w:rPr>
        <w:t>носить воду решетом</w:t>
      </w:r>
      <w:r w:rsidRPr="00621FF1">
        <w:rPr>
          <w:rFonts w:ascii="Times New Roman" w:hAnsi="Times New Roman" w:cs="Times New Roman"/>
          <w:sz w:val="28"/>
          <w:szCs w:val="28"/>
        </w:rPr>
        <w:t xml:space="preserve"> - монг. </w:t>
      </w:r>
      <w:r w:rsidRPr="00621FF1">
        <w:rPr>
          <w:rFonts w:ascii="Times New Roman" w:hAnsi="Times New Roman" w:cs="Times New Roman"/>
          <w:i/>
          <w:iCs/>
          <w:sz w:val="28"/>
          <w:szCs w:val="28"/>
        </w:rPr>
        <w:t>измерять метром улицу</w:t>
      </w:r>
      <w:r w:rsidRPr="00621FF1">
        <w:rPr>
          <w:rFonts w:ascii="Times New Roman" w:hAnsi="Times New Roman" w:cs="Times New Roman"/>
          <w:sz w:val="28"/>
          <w:szCs w:val="28"/>
        </w:rPr>
        <w:t>). Эта модель позволяет описать, какими путями проходит переосмысление, метафоризация лексических компонентов.</w:t>
      </w:r>
    </w:p>
    <w:p w:rsidR="001A5885" w:rsidRPr="00621FF1" w:rsidRDefault="001A5885" w:rsidP="001A5885">
      <w:pPr>
        <w:spacing w:after="0" w:line="4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t xml:space="preserve">Анализ проведенных экспериментов позволил установить, что независимо от типологии языка при восприятии незнакомых фразеологизмов родного языка реципиенты ориентируются на внутреннюю форму, а при восприятии единиц иноязычных фразеологизмов в пословном переводе на родной язык опираются на межъязыковую образность. Именно эти факторы являются основными при опознавании фразеологизмов, что не исключает воздействия структуры исходной единицы, её лексического и грамматического состава, а также типологических особенностей языков. </w:t>
      </w:r>
    </w:p>
    <w:sectPr w:rsidR="001A5885" w:rsidRPr="00621FF1" w:rsidSect="00E37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A5885"/>
    <w:rsid w:val="001A5885"/>
    <w:rsid w:val="00E37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88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869</Words>
  <Characters>4957</Characters>
  <Application>Microsoft Office Word</Application>
  <DocSecurity>0</DocSecurity>
  <Lines>41</Lines>
  <Paragraphs>11</Paragraphs>
  <ScaleCrop>false</ScaleCrop>
  <Company/>
  <LinksUpToDate>false</LinksUpToDate>
  <CharactersWithSpaces>5815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2017-01-12T13:44:00Z</dcterms:created>
  <dcterms:modified xsi:type="dcterms:W3CDTF">2017-01-12T13:47:00Z</dcterms:modified>
</cp:coreProperties>
</file>