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250" w:rsidRPr="009452B6" w:rsidRDefault="00715250">
      <w:pPr>
        <w:pStyle w:val="Title"/>
      </w:pPr>
      <w:bookmarkStart w:id="0" w:name="_docStart_2"/>
      <w:bookmarkStart w:id="1" w:name="_title_2"/>
      <w:bookmarkStart w:id="2" w:name="_ref_7039"/>
      <w:bookmarkEnd w:id="0"/>
      <w:r>
        <w:t xml:space="preserve">Раздел </w:t>
      </w:r>
      <w:r>
        <w:rPr>
          <w:lang w:val="en-US"/>
        </w:rPr>
        <w:t>II</w:t>
      </w:r>
    </w:p>
    <w:p w:rsidR="00715250" w:rsidRDefault="00715250">
      <w:pPr>
        <w:pStyle w:val="Title"/>
      </w:pPr>
      <w:r>
        <w:t>Учетная политика</w:t>
      </w:r>
      <w:r>
        <w:br/>
        <w:t>для целей налогообложения</w:t>
      </w:r>
      <w:bookmarkEnd w:id="1"/>
      <w:bookmarkEnd w:id="2"/>
    </w:p>
    <w:p w:rsidR="00715250" w:rsidRPr="00DC0230" w:rsidRDefault="00715250" w:rsidP="00DC0230">
      <w:pPr>
        <w:pStyle w:val="Heading1"/>
        <w:numPr>
          <w:ilvl w:val="0"/>
          <w:numId w:val="2"/>
        </w:numPr>
        <w:spacing w:before="0" w:after="0"/>
        <w:rPr>
          <w:sz w:val="22"/>
          <w:szCs w:val="22"/>
        </w:rPr>
      </w:pPr>
      <w:bookmarkStart w:id="3" w:name="_ref_8016"/>
      <w:r w:rsidRPr="00DC0230">
        <w:rPr>
          <w:sz w:val="22"/>
          <w:szCs w:val="22"/>
        </w:rPr>
        <w:t>Организационные положения</w:t>
      </w:r>
      <w:bookmarkEnd w:id="3"/>
    </w:p>
    <w:p w:rsidR="00715250" w:rsidRPr="00DC0230" w:rsidRDefault="00715250" w:rsidP="00DC0230">
      <w:pPr>
        <w:pStyle w:val="Heading2"/>
        <w:spacing w:before="0" w:after="0"/>
      </w:pPr>
      <w:bookmarkStart w:id="4" w:name="_ref_9768"/>
      <w:r w:rsidRPr="00DC0230">
        <w:t>Учет данных для целей налогообложения ведется  бухгалтерской службой (бухгалтерией).</w:t>
      </w:r>
      <w:bookmarkEnd w:id="4"/>
    </w:p>
    <w:p w:rsidR="00715250" w:rsidRDefault="00715250" w:rsidP="00DC0230">
      <w:pPr>
        <w:pStyle w:val="Heading2"/>
        <w:spacing w:before="0" w:after="0"/>
      </w:pPr>
      <w:bookmarkStart w:id="5" w:name="_ref_9769"/>
      <w:r w:rsidRPr="00DC0230">
        <w:t>Форма ведения учета данных для целей налогообложения - автоматизированная с применением компьютерной программы</w:t>
      </w:r>
      <w:r>
        <w:t xml:space="preserve"> </w:t>
      </w:r>
      <w:r w:rsidRPr="00DC0230">
        <w:t>«1С: Бухгалтерия».</w:t>
      </w:r>
      <w:bookmarkEnd w:id="5"/>
    </w:p>
    <w:p w:rsidR="00715250" w:rsidRDefault="00715250" w:rsidP="00DC0230">
      <w:pPr>
        <w:spacing w:before="0" w:after="0"/>
      </w:pPr>
      <w:r>
        <w:t>1.3. Учётная политика для целей налогообложения разработана в соответствии с требованиями части второй Налогового кодекса РФ.</w:t>
      </w:r>
    </w:p>
    <w:p w:rsidR="00715250" w:rsidRDefault="00715250" w:rsidP="00DC0230">
      <w:pPr>
        <w:spacing w:before="0" w:after="0"/>
      </w:pPr>
      <w:r>
        <w:t>1.4. Основными задачами налогового учёта являются:</w:t>
      </w:r>
    </w:p>
    <w:p w:rsidR="00715250" w:rsidRDefault="00715250" w:rsidP="00DC0230">
      <w:pPr>
        <w:spacing w:before="0" w:after="0"/>
      </w:pPr>
      <w:r>
        <w:tab/>
        <w:t>- ведение в установленном порядке учёта доходов и расходов и объектов налогообложения;</w:t>
      </w:r>
    </w:p>
    <w:p w:rsidR="00715250" w:rsidRDefault="00715250" w:rsidP="00DC0230">
      <w:pPr>
        <w:spacing w:before="0" w:after="0"/>
      </w:pPr>
      <w:r>
        <w:tab/>
        <w:t>- представление в налоговый орган по месту учёта в установленном порядке налоговых деклараций по тем налогам, которые университет обязан уплачивать.</w:t>
      </w:r>
    </w:p>
    <w:p w:rsidR="00715250" w:rsidRDefault="00715250" w:rsidP="00DC0230">
      <w:pPr>
        <w:spacing w:before="0" w:after="0"/>
      </w:pPr>
      <w:r>
        <w:t>1.5. Объектами налогового учёта могут являться:</w:t>
      </w:r>
    </w:p>
    <w:p w:rsidR="00715250" w:rsidRDefault="00715250" w:rsidP="00DC0230">
      <w:pPr>
        <w:spacing w:before="0" w:after="0"/>
      </w:pPr>
      <w:r>
        <w:tab/>
        <w:t>- операции по реализации услуг;</w:t>
      </w:r>
    </w:p>
    <w:p w:rsidR="00715250" w:rsidRDefault="00715250" w:rsidP="00DC0230">
      <w:pPr>
        <w:spacing w:before="0" w:after="0"/>
      </w:pPr>
      <w:r>
        <w:tab/>
        <w:t>- имущество, доход;</w:t>
      </w:r>
    </w:p>
    <w:p w:rsidR="00715250" w:rsidRDefault="00715250" w:rsidP="00DC0230">
      <w:pPr>
        <w:spacing w:before="0" w:after="0"/>
      </w:pPr>
      <w:r>
        <w:tab/>
        <w:t>- стоимость реализованных товаров;</w:t>
      </w:r>
    </w:p>
    <w:p w:rsidR="00715250" w:rsidRDefault="00715250" w:rsidP="00DC0230">
      <w:pPr>
        <w:spacing w:before="0" w:after="0"/>
      </w:pPr>
      <w:r>
        <w:tab/>
        <w:t>- иные объекты, имеющие стоимость, по которым возникает обязанность по уплате налогов.</w:t>
      </w:r>
    </w:p>
    <w:p w:rsidR="00715250" w:rsidRDefault="00715250" w:rsidP="00DC0230">
      <w:pPr>
        <w:spacing w:before="0" w:after="0"/>
      </w:pPr>
      <w:r>
        <w:t>1.6. Для подтверждения данных налогового учёта применяются:</w:t>
      </w:r>
    </w:p>
    <w:p w:rsidR="00715250" w:rsidRDefault="00715250" w:rsidP="00DC0230">
      <w:pPr>
        <w:spacing w:before="0" w:after="0"/>
      </w:pPr>
      <w:r>
        <w:tab/>
        <w:t>- первичные учётные документы (включая бухгалтерскую справку), оформленные в соответствии с законодательством РФ;</w:t>
      </w:r>
    </w:p>
    <w:p w:rsidR="00715250" w:rsidRDefault="00715250" w:rsidP="00DC0230">
      <w:pPr>
        <w:spacing w:before="0" w:after="0"/>
      </w:pPr>
      <w:r>
        <w:tab/>
        <w:t>- аналитические регистры налогового учёта, которые составляются на основе регистров бухгалтерского учёта в результате соответствия порядка группировки и учета хозяйственных операций по учёту доходов для целей бухгалтерского учёта порядку группировки и учёта хозяйственных операций доходов для целей налогообложения.</w:t>
      </w:r>
    </w:p>
    <w:p w:rsidR="00715250" w:rsidRDefault="00715250" w:rsidP="00DC0230">
      <w:pPr>
        <w:spacing w:before="0" w:after="0"/>
      </w:pPr>
      <w:r>
        <w:t>1.7. Система налогового учёта создана в рамках существующей системы бухгалтерского учёта, которая развивается и дорабатывается в соответствии с требованиями Налогового кодекса РФ.</w:t>
      </w:r>
    </w:p>
    <w:p w:rsidR="00715250" w:rsidRPr="00DC0230" w:rsidRDefault="00715250" w:rsidP="00DC0230">
      <w:pPr>
        <w:pStyle w:val="Heading1"/>
        <w:spacing w:before="0" w:after="0"/>
        <w:rPr>
          <w:sz w:val="22"/>
          <w:szCs w:val="22"/>
        </w:rPr>
      </w:pPr>
      <w:bookmarkStart w:id="6" w:name="_ref_10657"/>
      <w:r w:rsidRPr="00DC0230">
        <w:rPr>
          <w:sz w:val="22"/>
          <w:szCs w:val="22"/>
        </w:rPr>
        <w:t>Налог на добавленную стоимость</w:t>
      </w:r>
      <w:bookmarkEnd w:id="6"/>
    </w:p>
    <w:p w:rsidR="00715250" w:rsidRPr="00DC0230" w:rsidRDefault="00715250" w:rsidP="00DC0230">
      <w:pPr>
        <w:pStyle w:val="Heading2"/>
        <w:spacing w:before="0" w:after="0"/>
      </w:pPr>
      <w:bookmarkStart w:id="7" w:name="_ref_13375"/>
      <w:r w:rsidRPr="00DC0230">
        <w:t>Нумерация счетов-фактур производится в хронологическом порядке с начала календарного года.</w:t>
      </w:r>
      <w:bookmarkEnd w:id="7"/>
    </w:p>
    <w:p w:rsidR="00715250" w:rsidRDefault="00715250" w:rsidP="00DC0230">
      <w:pPr>
        <w:spacing w:before="0" w:after="0"/>
        <w:rPr>
          <w:i/>
          <w:iCs/>
        </w:rPr>
      </w:pPr>
      <w:r w:rsidRPr="00DC0230">
        <w:rPr>
          <w:i/>
          <w:iCs/>
        </w:rPr>
        <w:t xml:space="preserve">(Основание: </w:t>
      </w:r>
      <w:hyperlink r:id="rId7" w:history="1">
        <w:r w:rsidRPr="00DC0230">
          <w:rPr>
            <w:rStyle w:val="Hyperlink"/>
            <w:i/>
            <w:iCs/>
          </w:rPr>
          <w:t>пп. 1 п. 5 ст. 169</w:t>
        </w:r>
      </w:hyperlink>
      <w:r w:rsidRPr="00DC0230">
        <w:rPr>
          <w:i/>
          <w:iCs/>
        </w:rPr>
        <w:t xml:space="preserve"> НК РФ)</w:t>
      </w:r>
    </w:p>
    <w:p w:rsidR="00715250" w:rsidRDefault="00715250" w:rsidP="00DC0230">
      <w:pPr>
        <w:spacing w:before="0" w:after="0"/>
      </w:pPr>
      <w:r>
        <w:t>2.2. Объектом налогообложения считаются операции, перечисленные в статье 146 гл.21 НК РФ, по видам деятельности:</w:t>
      </w:r>
    </w:p>
    <w:p w:rsidR="00715250" w:rsidRDefault="00715250" w:rsidP="00DC0230">
      <w:pPr>
        <w:spacing w:before="0" w:after="0"/>
      </w:pPr>
      <w:r>
        <w:tab/>
        <w:t>- проведение университетом различных конференций;</w:t>
      </w:r>
    </w:p>
    <w:p w:rsidR="00715250" w:rsidRDefault="00715250" w:rsidP="00DC0230">
      <w:pPr>
        <w:spacing w:before="0" w:after="0"/>
      </w:pPr>
      <w:r>
        <w:tab/>
        <w:t>- прочие платные услуги, предоставляемые вузом.</w:t>
      </w:r>
    </w:p>
    <w:p w:rsidR="00715250" w:rsidRDefault="00715250" w:rsidP="00DC0230">
      <w:pPr>
        <w:spacing w:before="0" w:after="0"/>
      </w:pPr>
      <w:r>
        <w:t>2.3. Операции, не подлежащие налогообложению, перечисленые в статье 149 гл.21 НК РФ. Виды деятельности, освобождаемые от налогообложения:</w:t>
      </w:r>
    </w:p>
    <w:p w:rsidR="00715250" w:rsidRDefault="00715250" w:rsidP="00DC0230">
      <w:pPr>
        <w:spacing w:before="0" w:after="0"/>
      </w:pPr>
      <w:r>
        <w:tab/>
        <w:t>- программы высшего образования;</w:t>
      </w:r>
    </w:p>
    <w:p w:rsidR="00715250" w:rsidRDefault="00715250" w:rsidP="00DC0230">
      <w:pPr>
        <w:spacing w:before="0" w:after="0"/>
      </w:pPr>
      <w:r>
        <w:tab/>
        <w:t>- программы дополнительного образования (подготовительные курсы);</w:t>
      </w:r>
    </w:p>
    <w:p w:rsidR="00715250" w:rsidRDefault="00715250" w:rsidP="00DC0230">
      <w:pPr>
        <w:spacing w:before="0" w:after="0"/>
      </w:pPr>
      <w:r>
        <w:tab/>
        <w:t>- выполнение НИОКР;</w:t>
      </w:r>
    </w:p>
    <w:p w:rsidR="00715250" w:rsidRDefault="00715250" w:rsidP="00DC0230">
      <w:pPr>
        <w:spacing w:before="0" w:after="0"/>
      </w:pPr>
      <w:r>
        <w:t xml:space="preserve">    - услуги по предоставлению в пользование жилых помещений общежитий</w:t>
      </w:r>
    </w:p>
    <w:p w:rsidR="00715250" w:rsidRDefault="00715250" w:rsidP="00DC0230">
      <w:pPr>
        <w:spacing w:before="0" w:after="0"/>
      </w:pPr>
      <w:r>
        <w:t>2.4. При исчислении НДС применяется метод «по отгрузке» на основании Федерального закона от 22.07.2005 №119-ФЗ.</w:t>
      </w:r>
    </w:p>
    <w:p w:rsidR="00715250" w:rsidRDefault="00715250" w:rsidP="00DC0230">
      <w:pPr>
        <w:spacing w:before="0" w:after="0"/>
      </w:pPr>
      <w:r>
        <w:t>2.5. Налоговые вычеты по НДС производятся согласно п.4 ст.170 гл.21 НК РФ по товарам (работам, услугам), расходуемым или используемым при выполнении работ, производстве товаров, оказании услуг, облагаемых НДС.</w:t>
      </w:r>
    </w:p>
    <w:p w:rsidR="00715250" w:rsidRDefault="00715250" w:rsidP="00DC0230">
      <w:pPr>
        <w:spacing w:before="0" w:after="0"/>
      </w:pPr>
      <w:r>
        <w:t>2.6. Суммы НДС по товарам (работам, услугам), в том числе основным средствам и нематериальным активам, приобретаемым с целью осуществления видов деятельности, не облагаемых НДС, учитываются в их стоимости.</w:t>
      </w:r>
    </w:p>
    <w:p w:rsidR="00715250" w:rsidRDefault="00715250" w:rsidP="00DC0230">
      <w:pPr>
        <w:spacing w:before="0" w:after="0"/>
      </w:pPr>
      <w:r>
        <w:t>2.7. Учёт налога на добавленную стоимость ведётся на основании счетов-фактур, заполняемых в соответствии с установленным законодательством порядком и регистрируемых в книге покупок и книге продаж, которые хранятся в бухгалтерии вуза.</w:t>
      </w:r>
    </w:p>
    <w:p w:rsidR="00715250" w:rsidRDefault="00715250" w:rsidP="00DC0230">
      <w:pPr>
        <w:spacing w:before="0" w:after="0"/>
      </w:pPr>
      <w:r>
        <w:t>2.8. Ответственными лицами за подписание счетов-фактур назначить:</w:t>
      </w:r>
    </w:p>
    <w:p w:rsidR="00715250" w:rsidRDefault="00715250" w:rsidP="00DC0230">
      <w:pPr>
        <w:spacing w:before="0" w:after="0"/>
      </w:pPr>
      <w:r>
        <w:tab/>
        <w:t>- заместителя главного бухгалтера;</w:t>
      </w:r>
    </w:p>
    <w:p w:rsidR="00715250" w:rsidRDefault="00715250" w:rsidP="00DC0230">
      <w:pPr>
        <w:spacing w:before="0" w:after="0"/>
      </w:pPr>
      <w:r>
        <w:tab/>
        <w:t>- ректора, либо лицо, его замещающее</w:t>
      </w:r>
    </w:p>
    <w:p w:rsidR="00715250" w:rsidRDefault="00715250" w:rsidP="00DC0230">
      <w:pPr>
        <w:spacing w:before="0" w:after="0"/>
      </w:pPr>
      <w:r>
        <w:t xml:space="preserve">В отсутствие ответственных лиц, имеют право подписывать счета-фактуры лица, указанные в карточке с образцами подписей для управления федерального казначейства. </w:t>
      </w:r>
    </w:p>
    <w:p w:rsidR="00715250" w:rsidRDefault="00715250" w:rsidP="00DC0230">
      <w:pPr>
        <w:pStyle w:val="Heading1"/>
        <w:spacing w:before="0" w:after="0"/>
        <w:rPr>
          <w:sz w:val="22"/>
          <w:szCs w:val="22"/>
        </w:rPr>
      </w:pPr>
      <w:bookmarkStart w:id="8" w:name="_ref_22985"/>
      <w:r w:rsidRPr="00DC0230">
        <w:rPr>
          <w:sz w:val="22"/>
          <w:szCs w:val="22"/>
        </w:rPr>
        <w:t>Налог на прибыль организаций</w:t>
      </w:r>
      <w:bookmarkEnd w:id="8"/>
    </w:p>
    <w:p w:rsidR="00715250" w:rsidRDefault="00715250" w:rsidP="008153A7">
      <w:pPr>
        <w:spacing w:before="0" w:after="0"/>
      </w:pPr>
      <w:r>
        <w:t>3.1. Методом признания доходов и расходов для целей налогообложения считается метод начисления в соответствии со статьями 271, 272 гл.25 НК РФ. Дата получения дохода признаётся в том отчётном периоде, в котором они имели место, независимо от фактической оплаты.</w:t>
      </w:r>
      <w:r>
        <w:tab/>
      </w:r>
    </w:p>
    <w:p w:rsidR="00715250" w:rsidRDefault="00715250" w:rsidP="008153A7">
      <w:pPr>
        <w:spacing w:before="0" w:after="0"/>
      </w:pPr>
      <w:r>
        <w:t xml:space="preserve">3.2. Доходами для целей налогообложения от приносящей доход  деятельности признаются доходы вуза, получаемые от  юридических и физических лиц по операциям реализации товаров, работ, услуг, имущественных прав и внереализационные доходы в соответствии со статьями 249, 250 гл.25 НК РФ. Ежемесячно составляются регистр налогового учёта «Доходы от реализации» (Приложение № 1 к разделу </w:t>
      </w:r>
      <w:r>
        <w:rPr>
          <w:lang w:val="en-US"/>
        </w:rPr>
        <w:t>II</w:t>
      </w:r>
      <w:r w:rsidRPr="008153A7">
        <w:t xml:space="preserve"> </w:t>
      </w:r>
      <w:r>
        <w:t xml:space="preserve">Учётной политики) и регистр налогового учёта «Внереализационные доходы» » (Приложение № 2 к разделу </w:t>
      </w:r>
      <w:r>
        <w:rPr>
          <w:lang w:val="en-US"/>
        </w:rPr>
        <w:t>II</w:t>
      </w:r>
      <w:r>
        <w:t xml:space="preserve"> Учётной политики).</w:t>
      </w:r>
    </w:p>
    <w:p w:rsidR="00715250" w:rsidRDefault="00715250" w:rsidP="008153A7">
      <w:pPr>
        <w:spacing w:before="0" w:after="0"/>
      </w:pPr>
      <w:r>
        <w:t>3.3. Для признания доходов для целей налогообложения применяются следующие правила:</w:t>
      </w:r>
    </w:p>
    <w:p w:rsidR="00715250" w:rsidRDefault="00715250" w:rsidP="008153A7">
      <w:pPr>
        <w:spacing w:before="0" w:after="0"/>
      </w:pPr>
      <w:r>
        <w:tab/>
        <w:t>1) доходами от услуг в сфере платного образования ежемесячно (в течение учебного года: с 01 сентября по 30 июня) признаются средства, рассчитанные исходя из 1/12 годовой суммы, причитающейся задолженности по заключённым договорам по ценам, утверждённым на текущий учебный год;</w:t>
      </w:r>
    </w:p>
    <w:p w:rsidR="00715250" w:rsidRDefault="00715250" w:rsidP="008153A7">
      <w:pPr>
        <w:spacing w:before="0" w:after="0"/>
      </w:pPr>
      <w:r>
        <w:tab/>
        <w:t>2) право собственности на результаты НИОКР переходит к заказчику только после полной оплаты НИОКР, если это предусмотрено договором.</w:t>
      </w:r>
    </w:p>
    <w:p w:rsidR="00715250" w:rsidRDefault="00715250" w:rsidP="008153A7">
      <w:pPr>
        <w:spacing w:before="0" w:after="0"/>
      </w:pPr>
      <w:r>
        <w:tab/>
        <w:t>Разовые услуги отражаются в доходах по мере их оказания.</w:t>
      </w:r>
    </w:p>
    <w:p w:rsidR="00715250" w:rsidRDefault="00715250" w:rsidP="008153A7">
      <w:pPr>
        <w:spacing w:before="0" w:after="0"/>
      </w:pPr>
      <w:r>
        <w:tab/>
        <w:t>По доходам, относящимся к нескольким  отчётным периодам, и в случае если связь между доходами и расходами не может быть определена чётко или определяется косвенным путём, доходы распределяются с учётом принципа равномерности признания доходов и расходов (п.2 ст.271 НК РФ). Размер доходов определяется по первичным документам и регистрам налогового учёта.</w:t>
      </w:r>
    </w:p>
    <w:p w:rsidR="00715250" w:rsidRDefault="00715250" w:rsidP="008153A7">
      <w:pPr>
        <w:spacing w:before="0" w:after="0"/>
      </w:pPr>
      <w:r>
        <w:t>3.4. При определении налоговой базы руководствоваться положениями статьи 251 НК РФ. Перечень доходов, поименованных в данной статье, является исчерпывающим и полным.</w:t>
      </w:r>
    </w:p>
    <w:p w:rsidR="00715250" w:rsidRDefault="00715250" w:rsidP="008153A7">
      <w:pPr>
        <w:spacing w:before="0" w:after="0"/>
      </w:pPr>
      <w:r>
        <w:t>3.5. Учёт расходов, связанных с ведением приносящей доход   деятельности, осуществляется в порядке, установленном статьями 252-265, 268, 331.1 гл.25 НК РФ.</w:t>
      </w:r>
    </w:p>
    <w:p w:rsidR="00715250" w:rsidRDefault="00715250" w:rsidP="008153A7">
      <w:pPr>
        <w:spacing w:before="0" w:after="0"/>
      </w:pPr>
      <w:r>
        <w:t>3.6. Расходы, производимые в порядке исполнения локальных смет отдельных видов деятельности, сформированных и утверждённых в установленном порядке, признаются экономически обоснованными расходами, связанными с ведением данных видов деятельности, принимаемыми для целей налогообложения согласно п.1 ст.252 гл.25 НК РФ.</w:t>
      </w:r>
    </w:p>
    <w:p w:rsidR="00715250" w:rsidRDefault="00715250" w:rsidP="008153A7">
      <w:pPr>
        <w:spacing w:before="0" w:after="0"/>
      </w:pPr>
      <w:r>
        <w:t>3.7. Состав расходов, уменьшающих сумму доходов от реализации, следующий:</w:t>
      </w:r>
    </w:p>
    <w:p w:rsidR="00715250" w:rsidRDefault="00715250" w:rsidP="008153A7">
      <w:pPr>
        <w:spacing w:before="0" w:after="0"/>
      </w:pPr>
      <w:r>
        <w:tab/>
        <w:t>- материальные расходы;</w:t>
      </w:r>
    </w:p>
    <w:p w:rsidR="00715250" w:rsidRDefault="00715250" w:rsidP="008153A7">
      <w:pPr>
        <w:spacing w:before="0" w:after="0"/>
      </w:pPr>
      <w:r>
        <w:tab/>
        <w:t>- расходы на оплату труда;</w:t>
      </w:r>
    </w:p>
    <w:p w:rsidR="00715250" w:rsidRDefault="00715250" w:rsidP="008153A7">
      <w:pPr>
        <w:spacing w:before="0" w:after="0"/>
      </w:pPr>
      <w:r>
        <w:tab/>
        <w:t>- сумма начисленной амортизации по имуществу, приобретённому в связи с осуществлением предпринимательской деятельности;</w:t>
      </w:r>
    </w:p>
    <w:p w:rsidR="00715250" w:rsidRDefault="00715250" w:rsidP="008153A7">
      <w:pPr>
        <w:spacing w:before="0" w:after="0"/>
      </w:pPr>
      <w:r>
        <w:tab/>
        <w:t>- прочие расходы.</w:t>
      </w:r>
    </w:p>
    <w:p w:rsidR="00715250" w:rsidRDefault="00715250" w:rsidP="008153A7">
      <w:pPr>
        <w:spacing w:before="0" w:after="0"/>
      </w:pPr>
      <w:r>
        <w:t>Все вышеперечисленные расходы относятся к прямым расходам, кроме прочих расходов, которые относятся к косвенным расходам.</w:t>
      </w:r>
    </w:p>
    <w:p w:rsidR="00715250" w:rsidRDefault="00715250" w:rsidP="008153A7">
      <w:pPr>
        <w:spacing w:before="0" w:after="0"/>
      </w:pPr>
      <w:r>
        <w:t>3.8. Материальные расходы. Метод оценки материалов.</w:t>
      </w:r>
    </w:p>
    <w:p w:rsidR="00715250" w:rsidRDefault="00715250" w:rsidP="008153A7">
      <w:pPr>
        <w:spacing w:before="0" w:after="0"/>
      </w:pPr>
      <w:r>
        <w:t xml:space="preserve">При определении размера материальных расходов при списании сырья, материалов, используемых при оказании услуг, выполнении работ, для целей налогообложения используется метод оценки по средней фактической стоимости. В этом случае бухгалтерский и налоговый учёт совпадают. Ежемесячно по участкам бухгалтерского учёта составляются регистры налогового учёта «Материальные расходы» (Приложение № 3 к разделу </w:t>
      </w:r>
      <w:r w:rsidRPr="008153A7">
        <w:t xml:space="preserve">II </w:t>
      </w:r>
      <w:r>
        <w:t>Учётной политики)</w:t>
      </w:r>
    </w:p>
    <w:p w:rsidR="00715250" w:rsidRDefault="00715250" w:rsidP="008153A7">
      <w:pPr>
        <w:spacing w:before="0" w:after="0"/>
      </w:pPr>
      <w:r>
        <w:t>Основанием для отнесения на расходы являются акты на списание материалов, израсходованных на изготовление продукции, работ, услуг по установленной форме (ст.254 НК РФ).</w:t>
      </w:r>
    </w:p>
    <w:p w:rsidR="00715250" w:rsidRDefault="00715250" w:rsidP="008153A7">
      <w:pPr>
        <w:spacing w:before="0" w:after="0"/>
      </w:pPr>
      <w:r>
        <w:t>Канцелярские принадлежности (бумага, папки, карандаши, ручки, стержни и т.д.), приобретённые и одновременно выданные на текущие нужды, списываются на фактические расходы с отражением их общей суммы по приходу и расходу.</w:t>
      </w:r>
    </w:p>
    <w:p w:rsidR="00715250" w:rsidRDefault="00715250" w:rsidP="008153A7">
      <w:pPr>
        <w:spacing w:before="0" w:after="0"/>
      </w:pPr>
      <w:r>
        <w:t>3.9. Расходы на оплату труда.</w:t>
      </w:r>
    </w:p>
    <w:p w:rsidR="00715250" w:rsidRDefault="00715250" w:rsidP="008153A7">
      <w:pPr>
        <w:spacing w:before="0" w:after="0"/>
      </w:pPr>
      <w:r>
        <w:t xml:space="preserve">Расходы на оплату труда производятся  в соответствии со ст.255 НК РФ. Данные по расходам на оплату труда совпадают с данными бухгалтерского учёта. Основанием для начисления оплаты труда служат трудовой договор, табель учета рабочего времени, коллективный договор, изменения и дополнения к коллективному договору и положение об оплате труда. </w:t>
      </w:r>
    </w:p>
    <w:p w:rsidR="00715250" w:rsidRDefault="00715250" w:rsidP="008153A7">
      <w:pPr>
        <w:spacing w:before="0" w:after="0"/>
      </w:pPr>
      <w:r>
        <w:t>Для целей налогообложения резерв на оплату отпусков не формируется и не учитывается при исчислении налогооблагаемой базы.</w:t>
      </w:r>
    </w:p>
    <w:p w:rsidR="00715250" w:rsidRDefault="00715250" w:rsidP="008153A7">
      <w:pPr>
        <w:spacing w:before="0" w:after="0"/>
      </w:pPr>
      <w:r>
        <w:t xml:space="preserve">Ежемесячно бухгалтером расчётной группы составляется регистр налогового учёта «Расходы на оплату труда» (Приложение № 4 к разделу </w:t>
      </w:r>
      <w:r w:rsidRPr="008153A7">
        <w:t xml:space="preserve">II </w:t>
      </w:r>
      <w:r>
        <w:t>Учётной политики).</w:t>
      </w:r>
    </w:p>
    <w:p w:rsidR="00715250" w:rsidRDefault="00715250" w:rsidP="008153A7">
      <w:pPr>
        <w:spacing w:before="0" w:after="0"/>
      </w:pPr>
      <w:r>
        <w:t>3.10. Амортизация основных средств и нематериальных активов.</w:t>
      </w:r>
    </w:p>
    <w:p w:rsidR="00715250" w:rsidRDefault="00715250" w:rsidP="008153A7">
      <w:pPr>
        <w:spacing w:before="0" w:after="0"/>
      </w:pPr>
      <w:r>
        <w:tab/>
        <w:t>Руководствуясь положениями стати 256  НК РФ по имуществу вуза, приобретённому в связи с осуществлением приносящей доход  деятельности и используемому им для осуществления такой деятельности, начисляется амортизация в целях налогового учёта.</w:t>
      </w:r>
    </w:p>
    <w:p w:rsidR="00715250" w:rsidRDefault="00715250" w:rsidP="008153A7">
      <w:pPr>
        <w:spacing w:before="0" w:after="0"/>
      </w:pPr>
      <w:r>
        <w:tab/>
        <w:t>Применяется классификация амортизационных групп исходя из сроков полезного использования объектов основных средств и нематериальных активов, утверждённую постановлением Правительства РФ от 01.01.2002 № 1 в соответствии со ст.258 гл. 25 НК РФ.</w:t>
      </w:r>
    </w:p>
    <w:p w:rsidR="00715250" w:rsidRDefault="00715250" w:rsidP="008153A7">
      <w:pPr>
        <w:spacing w:before="0" w:after="0"/>
      </w:pPr>
      <w:r>
        <w:tab/>
        <w:t>Начисление амортизации по амортизируемому имуществу производится линейным методом для всех амортизационных групп в порядке, установленном ст.259 НК РФ.</w:t>
      </w:r>
    </w:p>
    <w:p w:rsidR="00715250" w:rsidRDefault="00715250" w:rsidP="008153A7">
      <w:pPr>
        <w:spacing w:before="0" w:after="0"/>
      </w:pPr>
      <w:r>
        <w:t>Суммы амортизации, начисленные по имуществу, приобретённому за счёт средств, полученных от приносящей доход  деятельности, и используемому для осуществления этой деятельности, относятся на расходы для целей налогообложения прибыли.</w:t>
      </w:r>
    </w:p>
    <w:p w:rsidR="00715250" w:rsidRDefault="00715250" w:rsidP="008153A7">
      <w:pPr>
        <w:spacing w:before="0" w:after="0"/>
      </w:pPr>
      <w:r>
        <w:t>При проведении переоценки (уценки) стоимости объектов основных средств на рыночную стоимость в соответствии с Распоряжением Правительства РФ от 15.11.2002 №1611-р положительная (отрицательная) сумма такой переоценки не признаётся доходом (расходом),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амортизации, учитываемой для целей налогообложения в соответствии с абз.6 п.1 ст.257 гл.25 НК РФ.</w:t>
      </w:r>
    </w:p>
    <w:p w:rsidR="00715250" w:rsidRDefault="00715250" w:rsidP="008153A7">
      <w:pPr>
        <w:spacing w:before="0" w:after="0"/>
      </w:pPr>
      <w:r>
        <w:t xml:space="preserve">Ежемесячно бухгалтером материальной группы составляется регистр налогового учёта «Амортизация» (Приложение № 5 к разделу </w:t>
      </w:r>
      <w:r w:rsidRPr="008153A7">
        <w:t xml:space="preserve">II </w:t>
      </w:r>
      <w:r>
        <w:t>Учётной политики).</w:t>
      </w:r>
    </w:p>
    <w:p w:rsidR="00715250" w:rsidRDefault="00715250" w:rsidP="008153A7">
      <w:pPr>
        <w:spacing w:before="0" w:after="0"/>
      </w:pPr>
      <w:r>
        <w:t>3.11. Прочие расходы, связанные с производством и реализацией.</w:t>
      </w:r>
    </w:p>
    <w:p w:rsidR="00715250" w:rsidRDefault="00715250" w:rsidP="008153A7">
      <w:pPr>
        <w:spacing w:before="0" w:after="0"/>
      </w:pPr>
      <w:r>
        <w:t>К прочим расходам, связанным с производством и реализацией, относятся расходы, перечисленные в статье 264 НК РФ.</w:t>
      </w:r>
    </w:p>
    <w:p w:rsidR="00715250" w:rsidRDefault="00715250" w:rsidP="008153A7">
      <w:pPr>
        <w:spacing w:before="0" w:after="0"/>
      </w:pPr>
      <w:r>
        <w:t>Расходы на ремонт основных средств, включая здания и сооружения, относятся к прочим расходам учреждения для целей уменьшения налогооблагаемой базы в размере фактических затрат в соответствии со ст.260 гл.25 НК РФ.</w:t>
      </w:r>
    </w:p>
    <w:p w:rsidR="00715250" w:rsidRDefault="00715250" w:rsidP="008153A7">
      <w:pPr>
        <w:spacing w:before="0" w:after="0"/>
      </w:pPr>
      <w:r>
        <w:t>Расходы на обязательное и добровольное страхование имущества включаются в прочие расходы учреждения в размере фактических затрат в соответствии со ст.263 гл.25 НК РФ.</w:t>
      </w:r>
    </w:p>
    <w:p w:rsidR="00715250" w:rsidRDefault="00715250" w:rsidP="008153A7">
      <w:pPr>
        <w:spacing w:before="0" w:after="0"/>
      </w:pPr>
      <w:r>
        <w:t>Суммы налогов и сборов, начисленные в установленном законодательством РФ о налогах и сборах порядке, за исключением перечисленных в статье 270 НК РФ, включаются в состав прочих расходов текущего периода.</w:t>
      </w:r>
    </w:p>
    <w:p w:rsidR="00715250" w:rsidRDefault="00715250" w:rsidP="008153A7">
      <w:pPr>
        <w:spacing w:before="0" w:after="0"/>
      </w:pPr>
      <w:r>
        <w:t xml:space="preserve">Ежемесячно по участкам бухгалтерского учёта составляются регистры налогового учёта «Прочие расходы» (Приложение № 6 к разделу </w:t>
      </w:r>
      <w:r w:rsidRPr="008153A7">
        <w:t xml:space="preserve">II </w:t>
      </w:r>
      <w:r>
        <w:t>Учётной политики).</w:t>
      </w:r>
    </w:p>
    <w:p w:rsidR="00715250" w:rsidRDefault="00715250" w:rsidP="008153A7">
      <w:pPr>
        <w:spacing w:before="0" w:after="0"/>
      </w:pPr>
      <w:r>
        <w:t>3.12. Внереализационные расходы.</w:t>
      </w:r>
    </w:p>
    <w:p w:rsidR="00715250" w:rsidRDefault="00715250" w:rsidP="008153A7">
      <w:pPr>
        <w:spacing w:before="0" w:after="0"/>
      </w:pPr>
      <w:r>
        <w:t>К внереализационным расходам относятся расходы, перечисленные в статье 265 НК РФ.</w:t>
      </w:r>
    </w:p>
    <w:p w:rsidR="00715250" w:rsidRDefault="00715250" w:rsidP="008153A7">
      <w:pPr>
        <w:spacing w:before="0" w:after="0"/>
      </w:pPr>
      <w:r>
        <w:t xml:space="preserve">Ежемесячно  составляется регистр налогового учёта «Внереализационные расходы» (Приложение № 7 к разделу </w:t>
      </w:r>
      <w:r w:rsidRPr="008153A7">
        <w:t xml:space="preserve">II </w:t>
      </w:r>
      <w:r>
        <w:t>Учётной политики).</w:t>
      </w:r>
    </w:p>
    <w:p w:rsidR="00715250" w:rsidRDefault="00715250" w:rsidP="008153A7">
      <w:pPr>
        <w:spacing w:before="0" w:after="0"/>
      </w:pPr>
      <w:r>
        <w:t>3.13. Налогооблагаемая база определяется в соответствии со ст.247 и  ст.274  гл.25 НК РФ  как разница между полученной суммой дохода от реализации товаров, выполненных работ, оказанных услуг, суммой внереализационных доходов (без учёта НДС) и суммой фактически осуществлённых расходов, связанных с ведением приносящей доход деятельности.</w:t>
      </w:r>
    </w:p>
    <w:p w:rsidR="00715250" w:rsidRDefault="00715250" w:rsidP="008153A7">
      <w:pPr>
        <w:spacing w:before="0" w:after="0"/>
      </w:pPr>
      <w:r>
        <w:t xml:space="preserve">Ежемесячно составляется регистр налогового учёта «Налоговая база» (Приложение № 8  к разделу </w:t>
      </w:r>
      <w:r w:rsidRPr="008153A7">
        <w:t xml:space="preserve">II </w:t>
      </w:r>
      <w:r>
        <w:t>Учётной политики).</w:t>
      </w:r>
    </w:p>
    <w:p w:rsidR="00715250" w:rsidRDefault="00715250" w:rsidP="008153A7">
      <w:pPr>
        <w:spacing w:before="0" w:after="0"/>
      </w:pPr>
      <w:r>
        <w:t>3.14. Руководствуясь п.3 ст.286 гл.25 НК РФ, уплачивается исчисленный по результатам отчётного периода (квартал, полугодие, 9 месяцев) квартальный авансовый платёж, а налог на прибыль, исчисленный по итогам налогового периода (год), уплачивается с учётом ранее выплаченных авансовых платежей.</w:t>
      </w:r>
      <w:r>
        <w:tab/>
      </w:r>
    </w:p>
    <w:p w:rsidR="00715250" w:rsidRPr="00403AE0" w:rsidRDefault="00715250" w:rsidP="008153A7">
      <w:pPr>
        <w:spacing w:before="0" w:after="0"/>
      </w:pPr>
      <w:r>
        <w:t>3.15. Налоговые ставки применяются в соответствии с п.1 ст.284 гл.25 НК РФ.</w:t>
      </w:r>
    </w:p>
    <w:p w:rsidR="00715250" w:rsidRDefault="00715250" w:rsidP="00DC0230">
      <w:pPr>
        <w:pStyle w:val="Heading1"/>
        <w:spacing w:before="0" w:after="0"/>
        <w:rPr>
          <w:sz w:val="22"/>
          <w:szCs w:val="22"/>
        </w:rPr>
      </w:pPr>
      <w:bookmarkStart w:id="9" w:name="_ref_87610"/>
      <w:r w:rsidRPr="00DC0230">
        <w:rPr>
          <w:sz w:val="22"/>
          <w:szCs w:val="22"/>
        </w:rPr>
        <w:t>Налог на доходы физических лиц</w:t>
      </w:r>
      <w:bookmarkEnd w:id="9"/>
    </w:p>
    <w:p w:rsidR="00715250" w:rsidRDefault="00715250" w:rsidP="008153A7">
      <w:pPr>
        <w:spacing w:before="0" w:after="0"/>
      </w:pPr>
      <w:r>
        <w:t>4.1. Налоговая база формируется в соответствии с главой 23 НК РФ «Налог на доходы физических лиц» согласно ст. 210 НК РФ.</w:t>
      </w:r>
    </w:p>
    <w:p w:rsidR="00715250" w:rsidRDefault="00715250" w:rsidP="008153A7">
      <w:pPr>
        <w:spacing w:before="0" w:after="0"/>
      </w:pPr>
      <w:r>
        <w:t>4.2. Налоговые ставки применяются в соответствии со ст. 224 гл.23 НК РФ.</w:t>
      </w:r>
    </w:p>
    <w:p w:rsidR="00715250" w:rsidRDefault="00715250" w:rsidP="008153A7">
      <w:pPr>
        <w:spacing w:before="0" w:after="0"/>
      </w:pPr>
      <w:r>
        <w:t>4.3. Общая сумма налога исчисляется в соответствии со ст.225 гл.23 НК РФ.</w:t>
      </w:r>
    </w:p>
    <w:p w:rsidR="00715250" w:rsidRPr="008153A7" w:rsidRDefault="00715250" w:rsidP="008153A7">
      <w:pPr>
        <w:spacing w:before="0" w:after="0"/>
      </w:pPr>
      <w:r>
        <w:t>4.4.  Учёт доходов, полученных работниками вуза в налоговом периоде, предоставленных им налоговых вычетов, исчисленного и удержанного НДФЛ  ведётся в регистрах налогового учёта. Регистры налогового учёта по НДФЛ формируются автоматически  в бухгалтерской программе «1С:Зарплата» по форме согласно требованиям ст.230 гл.23 НК РФ.</w:t>
      </w:r>
    </w:p>
    <w:p w:rsidR="00715250" w:rsidRDefault="00715250" w:rsidP="00DC0230">
      <w:pPr>
        <w:pStyle w:val="Heading1"/>
        <w:spacing w:before="0" w:after="0"/>
        <w:rPr>
          <w:sz w:val="22"/>
          <w:szCs w:val="22"/>
        </w:rPr>
      </w:pPr>
      <w:r>
        <w:rPr>
          <w:sz w:val="22"/>
          <w:szCs w:val="22"/>
        </w:rPr>
        <w:t>Транспортный налог</w:t>
      </w:r>
    </w:p>
    <w:p w:rsidR="00715250" w:rsidRDefault="00715250" w:rsidP="00646330">
      <w:pPr>
        <w:spacing w:before="0" w:after="0"/>
      </w:pPr>
      <w:r>
        <w:t>5.1. В соответствии с главой 28 НК РФ «Транспортный налог» и региональным Законом «О транспортном налоге» формируется налоговая база исходя из наличия всех транспортных средств, зарегистрированных на имя вуза.</w:t>
      </w:r>
    </w:p>
    <w:p w:rsidR="00715250" w:rsidRPr="00646330" w:rsidRDefault="00715250" w:rsidP="00646330">
      <w:pPr>
        <w:spacing w:before="0" w:after="0"/>
      </w:pPr>
      <w:r>
        <w:t>5.2 .Подлежат включению в налоговую базу транспортные средства, находящиеся на ремонте и подлежащие списанию, до момента снятия транспортного средства с учёта или исключения из государственного реестра в соответствии с законодательством РФ.</w:t>
      </w:r>
    </w:p>
    <w:p w:rsidR="00715250" w:rsidRPr="00DC0230" w:rsidRDefault="00715250" w:rsidP="00DC0230">
      <w:pPr>
        <w:pStyle w:val="Heading1"/>
        <w:spacing w:before="0" w:after="0"/>
        <w:rPr>
          <w:sz w:val="22"/>
          <w:szCs w:val="22"/>
        </w:rPr>
      </w:pPr>
      <w:bookmarkStart w:id="10" w:name="_ref_97799"/>
      <w:r w:rsidRPr="00DC0230">
        <w:rPr>
          <w:sz w:val="22"/>
          <w:szCs w:val="22"/>
        </w:rPr>
        <w:t>Налог на имущество организаций</w:t>
      </w:r>
      <w:bookmarkEnd w:id="10"/>
    </w:p>
    <w:p w:rsidR="00715250" w:rsidRDefault="00715250" w:rsidP="00646330">
      <w:pPr>
        <w:spacing w:before="0" w:after="0"/>
      </w:pPr>
      <w:r>
        <w:t>6.1. Налогооблагаемая база формируется в соответствии с главой 30 НК РФ «Налог на имущество организаций» согласно статьям 374, 375 гл.30 НК РФ.</w:t>
      </w:r>
    </w:p>
    <w:p w:rsidR="00715250" w:rsidRDefault="00715250" w:rsidP="00646330">
      <w:pPr>
        <w:spacing w:before="0" w:after="0"/>
      </w:pPr>
      <w:r>
        <w:t>6.2. Налоговые ставки применяются в соответствии с законодательством Алтайского края.</w:t>
      </w:r>
    </w:p>
    <w:p w:rsidR="00715250" w:rsidRDefault="00715250" w:rsidP="00646330">
      <w:pPr>
        <w:spacing w:before="0" w:after="0"/>
      </w:pPr>
      <w:r>
        <w:t>6.3. Налог и авансовые платежи по налогу на имущество в региональный бюджет уплачиваются в порядке и сроки, предусмотренные ст.383 гл.30 НК РФ.</w:t>
      </w:r>
    </w:p>
    <w:p w:rsidR="00715250" w:rsidRDefault="00715250" w:rsidP="00646330">
      <w:pPr>
        <w:spacing w:before="0" w:after="0"/>
      </w:pPr>
    </w:p>
    <w:p w:rsidR="00715250" w:rsidRDefault="00715250" w:rsidP="00646330">
      <w:pPr>
        <w:pStyle w:val="Heading1"/>
      </w:pPr>
      <w:r>
        <w:t xml:space="preserve"> Налог на землю</w:t>
      </w:r>
    </w:p>
    <w:p w:rsidR="00715250" w:rsidRDefault="00715250" w:rsidP="002D49AA">
      <w:pPr>
        <w:spacing w:before="0" w:after="0"/>
      </w:pPr>
      <w:r>
        <w:t>7.1. Налогооблагаемая база формируется в соответствии с главой 31 НК РФ «Налог на землю» согласно статьям 389, 390, 391 гл.31 НК РФ.</w:t>
      </w:r>
    </w:p>
    <w:p w:rsidR="00715250" w:rsidRDefault="00715250" w:rsidP="002D49AA">
      <w:pPr>
        <w:spacing w:before="0" w:after="0"/>
      </w:pPr>
      <w:r>
        <w:t>7.2. Налоговые ставки применяются в соответствии с законодательством Алтайского края.</w:t>
      </w:r>
    </w:p>
    <w:p w:rsidR="00715250" w:rsidRPr="002D49AA" w:rsidRDefault="00715250" w:rsidP="002D49AA">
      <w:pPr>
        <w:spacing w:before="0" w:after="0"/>
        <w:sectPr w:rsidR="00715250" w:rsidRPr="002D49AA">
          <w:headerReference w:type="default" r:id="rId8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  <w:r>
        <w:t>7.3. Налог и авансовые платежи по налогу на землю в местный бюджет уплачиваются в порядке и сроки, предусмотренные ст.396 гл.31 НК РФ.</w:t>
      </w:r>
      <w:bookmarkStart w:id="11" w:name="_GoBack"/>
      <w:bookmarkEnd w:id="11"/>
    </w:p>
    <w:tbl>
      <w:tblPr>
        <w:tblW w:w="5000" w:type="pct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572"/>
      </w:tblGrid>
      <w:tr w:rsidR="0071525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15250" w:rsidRDefault="00715250">
            <w:pPr>
              <w:keepNext/>
              <w:jc w:val="left"/>
            </w:pPr>
          </w:p>
        </w:tc>
      </w:tr>
    </w:tbl>
    <w:p w:rsidR="00715250" w:rsidRDefault="00715250">
      <w:pPr>
        <w:sectPr w:rsidR="00715250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  <w:bookmarkStart w:id="12" w:name="_docEnd_3"/>
      <w:bookmarkEnd w:id="12"/>
    </w:p>
    <w:p w:rsidR="00715250" w:rsidRDefault="00715250">
      <w:pPr>
        <w:sectPr w:rsidR="00715250">
          <w:headerReference w:type="default" r:id="rId12"/>
          <w:footerReference w:type="default" r:id="rId13"/>
          <w:footerReference w:type="first" r:id="rId14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  <w:bookmarkStart w:id="13" w:name="_docEnd_4"/>
      <w:bookmarkEnd w:id="13"/>
    </w:p>
    <w:p w:rsidR="00715250" w:rsidRDefault="00715250">
      <w:pPr>
        <w:pStyle w:val="Title"/>
      </w:pPr>
    </w:p>
    <w:tbl>
      <w:tblPr>
        <w:tblW w:w="5000" w:type="pct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572"/>
      </w:tblGrid>
      <w:tr w:rsidR="0071525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15250" w:rsidRDefault="00715250">
            <w:pPr>
              <w:keepNext/>
              <w:jc w:val="left"/>
            </w:pPr>
          </w:p>
        </w:tc>
      </w:tr>
    </w:tbl>
    <w:p w:rsidR="00715250" w:rsidRDefault="00715250">
      <w:pPr>
        <w:sectPr w:rsidR="00715250">
          <w:headerReference w:type="default" r:id="rId15"/>
          <w:footerReference w:type="default" r:id="rId16"/>
          <w:footerReference w:type="first" r:id="rId17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  <w:bookmarkStart w:id="14" w:name="_docEnd_5"/>
      <w:bookmarkEnd w:id="14"/>
    </w:p>
    <w:p w:rsidR="00715250" w:rsidRDefault="00715250">
      <w:pPr>
        <w:pStyle w:val="Title"/>
      </w:pPr>
    </w:p>
    <w:tbl>
      <w:tblPr>
        <w:tblW w:w="5000" w:type="pct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572"/>
      </w:tblGrid>
      <w:tr w:rsidR="0071525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15250" w:rsidRDefault="00715250">
            <w:pPr>
              <w:keepNext/>
              <w:jc w:val="left"/>
            </w:pPr>
          </w:p>
        </w:tc>
      </w:tr>
    </w:tbl>
    <w:p w:rsidR="00715250" w:rsidRDefault="00715250">
      <w:pPr>
        <w:sectPr w:rsidR="00715250">
          <w:headerReference w:type="default" r:id="rId18"/>
          <w:footerReference w:type="default" r:id="rId19"/>
          <w:footerReference w:type="first" r:id="rId20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  <w:bookmarkStart w:id="15" w:name="_docEnd_6"/>
      <w:bookmarkEnd w:id="15"/>
    </w:p>
    <w:p w:rsidR="00715250" w:rsidRDefault="00715250">
      <w:pPr>
        <w:pStyle w:val="Title"/>
      </w:pPr>
    </w:p>
    <w:tbl>
      <w:tblPr>
        <w:tblW w:w="5000" w:type="pct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572"/>
      </w:tblGrid>
      <w:tr w:rsidR="0071525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15250" w:rsidRDefault="00715250">
            <w:pPr>
              <w:keepNext/>
              <w:jc w:val="left"/>
            </w:pPr>
          </w:p>
        </w:tc>
      </w:tr>
    </w:tbl>
    <w:p w:rsidR="00715250" w:rsidRDefault="00715250"/>
    <w:sectPr w:rsidR="00715250" w:rsidSect="007A2DD2">
      <w:headerReference w:type="default" r:id="rId21"/>
      <w:footerReference w:type="default" r:id="rId22"/>
      <w:footerReference w:type="first" r:id="rId23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250" w:rsidRDefault="00715250">
      <w:pPr>
        <w:spacing w:before="0" w:after="0" w:line="240" w:lineRule="auto"/>
      </w:pPr>
      <w:r>
        <w:separator/>
      </w:r>
    </w:p>
  </w:endnote>
  <w:endnote w:type="continuationSeparator" w:id="0">
    <w:p w:rsidR="00715250" w:rsidRDefault="0071525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2</w:t>
      </w:r>
    </w:fldSimple>
    <w:r>
      <w:t xml:space="preserve"> из </w:t>
    </w:r>
    <w:fldSimple w:instr=" SECTIONPAGES ">
      <w:r>
        <w:rPr>
          <w:noProof/>
        </w:rPr>
        <w:t>5</w:t>
      </w:r>
    </w:fldSimple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Footer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250" w:rsidRDefault="00715250">
      <w:pPr>
        <w:spacing w:before="0" w:after="0" w:line="240" w:lineRule="auto"/>
      </w:pPr>
      <w:r>
        <w:separator/>
      </w:r>
    </w:p>
  </w:footnote>
  <w:footnote w:type="continuationSeparator" w:id="0">
    <w:p w:rsidR="00715250" w:rsidRDefault="0071525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Header"/>
    </w:pPr>
    <w:r>
      <w:t xml:space="preserve">Учетная политика </w:t>
    </w:r>
    <w:r>
      <w:rPr>
        <w:u w:val="single"/>
      </w:rPr>
      <w:t>           </w:t>
    </w:r>
    <w:r>
      <w:t xml:space="preserve"> для целей налогообложения</w:t>
    </w:r>
    <w:r>
      <w:b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Header"/>
    </w:pPr>
    <w:r>
      <w:t>Формы регистров, применяемых для ведения налогового учета</w:t>
    </w:r>
    <w:r>
      <w:br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Header"/>
    </w:pPr>
    <w:r>
      <w:t xml:space="preserve">Расчет (смета) предельной суммы и ежемесячного процента отчислений в резерв на оплату отпусков на </w:t>
    </w:r>
    <w:r>
      <w:rPr>
        <w:u w:val="single"/>
      </w:rPr>
      <w:t>         </w:t>
    </w:r>
    <w:r>
      <w:t xml:space="preserve"> г.</w:t>
    </w:r>
    <w:r>
      <w:br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Header"/>
    </w:pPr>
    <w:r>
      <w:t xml:space="preserve">Налоговый регистр (карточка) по учету доходов, вычетов и налога на доходы физических лиц за </w:t>
    </w:r>
    <w:r>
      <w:rPr>
        <w:u w:val="single"/>
      </w:rPr>
      <w:t>         </w:t>
    </w:r>
    <w:r>
      <w:t xml:space="preserve"> г. № </w:t>
    </w:r>
    <w:r>
      <w:rPr>
        <w:u w:val="single"/>
      </w:rPr>
      <w:t>         </w:t>
    </w:r>
    <w:r>
      <w:br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Header"/>
    </w:pPr>
    <w:r>
      <w:t xml:space="preserve">Регистр (карточка) учета сумм начисленных выплат и иных вознаграждений, а также относящихся к ним сумм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 за </w:t>
    </w:r>
    <w:r>
      <w:rPr>
        <w:u w:val="single"/>
      </w:rPr>
      <w:t>         </w:t>
    </w:r>
    <w:r>
      <w:t xml:space="preserve"> г.</w:t>
    </w:r>
    <w:r>
      <w:br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50" w:rsidRDefault="00715250">
    <w:pPr>
      <w:pStyle w:val="Header"/>
    </w:pPr>
    <w:bookmarkStart w:id="16" w:name="_docEnd_7"/>
    <w:bookmarkEnd w:id="16"/>
    <w:r>
      <w:t xml:space="preserve">Карточка учета начислений и перечислений страховых взносов, а также производимых страховых выплат по обязательному социальному страхованию от несчастных случаев на производстве и профессиональных заболеваний за </w:t>
    </w:r>
    <w:r>
      <w:rPr>
        <w:u w:val="single"/>
      </w:rPr>
      <w:t>         </w:t>
    </w:r>
    <w:r>
      <w:t xml:space="preserve"> г.</w:t>
    </w:r>
    <w: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</w:lvl>
  </w:abstractNum>
  <w:abstractNum w:abstractNumId="1">
    <w:nsid w:val="00000002"/>
    <w:multiLevelType w:val="singleLevel"/>
    <w:tmpl w:val="00000000"/>
    <w:lvl w:ilvl="0">
      <w:numFmt w:val="bullet"/>
      <w:suff w:val="space"/>
      <w:lvlText w:val="•"/>
      <w:lvlJc w:val="left"/>
    </w:lvl>
  </w:abstractNum>
  <w:abstractNum w:abstractNumId="2">
    <w:nsid w:val="00000003"/>
    <w:multiLevelType w:val="singleLevel"/>
    <w:tmpl w:val="00000000"/>
    <w:lvl w:ilvl="0">
      <w:numFmt w:val="bullet"/>
      <w:suff w:val="space"/>
      <w:lvlText w:val="o"/>
      <w:lvlJc w:val="left"/>
    </w:lvl>
  </w:abstractNum>
  <w:abstractNum w:abstractNumId="3">
    <w:nsid w:val="00000004"/>
    <w:multiLevelType w:val="singleLevel"/>
    <w:tmpl w:val="00000000"/>
    <w:lvl w:ilvl="0">
      <w:numFmt w:val="bullet"/>
      <w:suff w:val="space"/>
      <w:lvlText w:val="■"/>
      <w:lvlJc w:val="left"/>
    </w:lvl>
  </w:abstractNum>
  <w:abstractNum w:abstractNumId="4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</w:lvl>
  </w:abstractNum>
  <w:abstractNum w:abstractNumId="5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</w:lvl>
  </w:abstractNum>
  <w:abstractNum w:abstractNumId="6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</w:lvl>
  </w:abstractNum>
  <w:abstractNum w:abstractNumId="7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</w:lvl>
  </w:abstractNum>
  <w:abstractNum w:abstractNumId="8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</w:lvl>
  </w:abstractNum>
  <w:abstractNum w:abstractNumId="9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</w:lvl>
  </w:abstractNum>
  <w:abstractNum w:abstractNumId="1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</w:lvl>
  </w:abstractNum>
  <w:abstractNum w:abstractNumId="11">
    <w:nsid w:val="4F3F770A"/>
    <w:multiLevelType w:val="multilevel"/>
    <w:tmpl w:val="5200573E"/>
    <w:lvl w:ilvl="0">
      <w:start w:val="1"/>
      <w:numFmt w:val="decimal"/>
      <w:pStyle w:val="Heading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."/>
      <w:lvlJc w:val="left"/>
      <w:rPr>
        <w:rFonts w:hint="default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C2E"/>
    <w:rsid w:val="00022ACD"/>
    <w:rsid w:val="00052F57"/>
    <w:rsid w:val="00055168"/>
    <w:rsid w:val="00096D09"/>
    <w:rsid w:val="001A082E"/>
    <w:rsid w:val="001B5DC3"/>
    <w:rsid w:val="00223219"/>
    <w:rsid w:val="00256D24"/>
    <w:rsid w:val="002D49AA"/>
    <w:rsid w:val="003710E2"/>
    <w:rsid w:val="00403AE0"/>
    <w:rsid w:val="004371B9"/>
    <w:rsid w:val="004A5BD3"/>
    <w:rsid w:val="004F01AC"/>
    <w:rsid w:val="00502031"/>
    <w:rsid w:val="005D41EB"/>
    <w:rsid w:val="00646330"/>
    <w:rsid w:val="006F6C0D"/>
    <w:rsid w:val="00715250"/>
    <w:rsid w:val="00716C2E"/>
    <w:rsid w:val="00747A69"/>
    <w:rsid w:val="0079150B"/>
    <w:rsid w:val="007A2DD2"/>
    <w:rsid w:val="007B19FD"/>
    <w:rsid w:val="008153A7"/>
    <w:rsid w:val="00862CB1"/>
    <w:rsid w:val="008D12E6"/>
    <w:rsid w:val="00924838"/>
    <w:rsid w:val="0092497C"/>
    <w:rsid w:val="009452B6"/>
    <w:rsid w:val="009833C3"/>
    <w:rsid w:val="009931BD"/>
    <w:rsid w:val="009A3F0D"/>
    <w:rsid w:val="009B61DD"/>
    <w:rsid w:val="009E3CB7"/>
    <w:rsid w:val="00A33339"/>
    <w:rsid w:val="00AD3D29"/>
    <w:rsid w:val="00B131D0"/>
    <w:rsid w:val="00BA0BD5"/>
    <w:rsid w:val="00BF3666"/>
    <w:rsid w:val="00C366AB"/>
    <w:rsid w:val="00D71F7B"/>
    <w:rsid w:val="00DA466C"/>
    <w:rsid w:val="00DC0230"/>
    <w:rsid w:val="00DC0C29"/>
    <w:rsid w:val="00E03464"/>
    <w:rsid w:val="00E32293"/>
    <w:rsid w:val="00F27AA4"/>
    <w:rsid w:val="00FB02AA"/>
    <w:rsid w:val="00FB4FE3"/>
    <w:rsid w:val="00FC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9B61DD"/>
    <w:pPr>
      <w:spacing w:before="120" w:after="120" w:line="276" w:lineRule="auto"/>
      <w:ind w:firstLine="482"/>
      <w:jc w:val="both"/>
    </w:pPr>
  </w:style>
  <w:style w:type="paragraph" w:styleId="Heading1">
    <w:name w:val="heading 1"/>
    <w:basedOn w:val="Normal"/>
    <w:next w:val="Normal"/>
    <w:link w:val="Heading1Char"/>
    <w:uiPriority w:val="99"/>
    <w:qFormat/>
    <w:rsid w:val="009B61DD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B61DD"/>
    <w:pPr>
      <w:numPr>
        <w:ilvl w:val="1"/>
        <w:numId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9B61DD"/>
    <w:pPr>
      <w:numPr>
        <w:ilvl w:val="2"/>
        <w:numId w:val="1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9B61DD"/>
    <w:pPr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9B61DD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9B61DD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B61DD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B61DD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B61DD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3CB7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B61DD"/>
    <w:rPr>
      <w:rFonts w:ascii="Times New Roman" w:hAnsi="Times New Roman" w:cs="Times New Roman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B61DD"/>
    <w:rPr>
      <w:rFonts w:ascii="Times New Roman" w:hAnsi="Times New Roman" w:cs="Times New Roman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B61DD"/>
    <w:rPr>
      <w:rFonts w:ascii="Times New Roman" w:hAnsi="Times New Roman" w:cs="Times New Roman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B61DD"/>
    <w:rPr>
      <w:sz w:val="20"/>
      <w:szCs w:val="20"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B61DD"/>
    <w:rPr>
      <w:i/>
      <w:iCs/>
      <w:color w:val="243F60"/>
      <w:sz w:val="20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B61DD"/>
    <w:rPr>
      <w:i/>
      <w:iCs/>
      <w:color w:val="404040"/>
      <w:sz w:val="20"/>
      <w:szCs w:val="20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B61DD"/>
    <w:rPr>
      <w:color w:val="4F81BD"/>
      <w:sz w:val="20"/>
      <w:szCs w:val="20"/>
      <w:lang w:val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B61DD"/>
    <w:rPr>
      <w:i/>
      <w:iCs/>
      <w:color w:val="404040"/>
      <w:sz w:val="20"/>
      <w:szCs w:val="20"/>
      <w:lang w:val="ru-RU"/>
    </w:rPr>
  </w:style>
  <w:style w:type="paragraph" w:customStyle="1" w:styleId="Normalunindented">
    <w:name w:val="Normal unindented"/>
    <w:aliases w:val="Обычный Без отступа"/>
    <w:uiPriority w:val="99"/>
    <w:rsid w:val="009B61DD"/>
    <w:pPr>
      <w:spacing w:before="120" w:after="120" w:line="276" w:lineRule="auto"/>
      <w:jc w:val="both"/>
    </w:pPr>
  </w:style>
  <w:style w:type="paragraph" w:customStyle="1" w:styleId="heading1unnumbered">
    <w:name w:val="heading 1 unnumbered"/>
    <w:aliases w:val="Заголовок 1 Ненумерованный"/>
    <w:basedOn w:val="Normal"/>
    <w:next w:val="Normal"/>
    <w:uiPriority w:val="99"/>
    <w:rsid w:val="009B61DD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4"/>
    </w:rPr>
  </w:style>
  <w:style w:type="paragraph" w:customStyle="1" w:styleId="heading1normal">
    <w:name w:val="heading 1 normal"/>
    <w:aliases w:val="Заголовок 1 Обычный"/>
    <w:basedOn w:val="Normal"/>
    <w:next w:val="Normal"/>
    <w:uiPriority w:val="99"/>
    <w:rsid w:val="009B61DD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Normal"/>
    <w:next w:val="Normal"/>
    <w:link w:val="1"/>
    <w:uiPriority w:val="99"/>
    <w:rsid w:val="009B61DD"/>
    <w:pPr>
      <w:outlineLvl w:val="0"/>
    </w:pPr>
  </w:style>
  <w:style w:type="character" w:customStyle="1" w:styleId="1">
    <w:name w:val="Заголовок 1 Знак"/>
    <w:basedOn w:val="DefaultParagraphFont"/>
    <w:link w:val="heading1normalunnumbered"/>
    <w:uiPriority w:val="99"/>
    <w:locked/>
    <w:rsid w:val="009B61DD"/>
    <w:rPr>
      <w:rFonts w:ascii="Times New Roman" w:hAnsi="Times New Roman" w:cs="Times New Roman"/>
      <w:b/>
      <w:bCs/>
      <w:sz w:val="28"/>
      <w:szCs w:val="28"/>
      <w:lang w:val="ru-RU"/>
    </w:rPr>
  </w:style>
  <w:style w:type="paragraph" w:styleId="Caption">
    <w:name w:val="caption"/>
    <w:basedOn w:val="Normal"/>
    <w:next w:val="Normal"/>
    <w:uiPriority w:val="99"/>
    <w:qFormat/>
    <w:rsid w:val="009B61DD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aliases w:val="Текст сноски Знак"/>
    <w:basedOn w:val="Normal"/>
    <w:next w:val="Normal"/>
    <w:link w:val="TitleChar"/>
    <w:uiPriority w:val="99"/>
    <w:qFormat/>
    <w:rsid w:val="009B61DD"/>
    <w:pPr>
      <w:keepNext/>
      <w:keepLines/>
      <w:spacing w:after="300" w:line="240" w:lineRule="auto"/>
      <w:ind w:firstLine="0"/>
      <w:jc w:val="center"/>
      <w:outlineLvl w:val="0"/>
    </w:pPr>
    <w:rPr>
      <w:b/>
      <w:bCs/>
      <w:spacing w:val="5"/>
      <w:kern w:val="28"/>
      <w:sz w:val="28"/>
      <w:szCs w:val="28"/>
    </w:rPr>
  </w:style>
  <w:style w:type="character" w:customStyle="1" w:styleId="TitleChar">
    <w:name w:val="Title Char"/>
    <w:aliases w:val="Текст сноски Знак Char"/>
    <w:basedOn w:val="DefaultParagraphFont"/>
    <w:link w:val="Title"/>
    <w:uiPriority w:val="99"/>
    <w:locked/>
    <w:rsid w:val="009B61DD"/>
    <w:rPr>
      <w:rFonts w:ascii="Times New Roman" w:hAnsi="Times New Roman" w:cs="Times New Roman"/>
      <w:b/>
      <w:bCs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B61DD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B61DD"/>
    <w:rPr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99"/>
    <w:qFormat/>
    <w:rsid w:val="009B61DD"/>
    <w:rPr>
      <w:b/>
      <w:bCs/>
    </w:rPr>
  </w:style>
  <w:style w:type="character" w:styleId="Emphasis">
    <w:name w:val="Emphasis"/>
    <w:basedOn w:val="DefaultParagraphFont"/>
    <w:uiPriority w:val="99"/>
    <w:qFormat/>
    <w:rsid w:val="009B61DD"/>
    <w:rPr>
      <w:i/>
      <w:iCs/>
    </w:rPr>
  </w:style>
  <w:style w:type="paragraph" w:styleId="NoSpacing">
    <w:name w:val="No Spacing"/>
    <w:uiPriority w:val="99"/>
    <w:qFormat/>
    <w:rsid w:val="009B61DD"/>
  </w:style>
  <w:style w:type="paragraph" w:styleId="ListParagraph">
    <w:name w:val="List Paragraph"/>
    <w:basedOn w:val="Normal"/>
    <w:uiPriority w:val="99"/>
    <w:qFormat/>
    <w:rsid w:val="009B61DD"/>
    <w:pPr>
      <w:jc w:val="left"/>
    </w:pPr>
  </w:style>
  <w:style w:type="paragraph" w:styleId="Quote">
    <w:name w:val="Quote"/>
    <w:basedOn w:val="Normal"/>
    <w:next w:val="Normal"/>
    <w:link w:val="QuoteChar"/>
    <w:uiPriority w:val="99"/>
    <w:qFormat/>
    <w:rsid w:val="009B61DD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character" w:customStyle="1" w:styleId="QuoteChar">
    <w:name w:val="Quote Char"/>
    <w:basedOn w:val="DefaultParagraphFont"/>
    <w:link w:val="Quote"/>
    <w:uiPriority w:val="99"/>
    <w:locked/>
    <w:rsid w:val="009E3CB7"/>
    <w:rPr>
      <w:i/>
      <w:iCs/>
      <w:color w:val="000000"/>
    </w:rPr>
  </w:style>
  <w:style w:type="paragraph" w:customStyle="1" w:styleId="DeletedPlaceholder">
    <w:name w:val="DeletedPlaceholder"/>
    <w:aliases w:val="Подстановка"/>
    <w:basedOn w:val="Normal"/>
    <w:next w:val="Normal"/>
    <w:link w:val="DeletedPlaceholder0"/>
    <w:uiPriority w:val="99"/>
    <w:rsid w:val="009B61DD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DefaultParagraphFont"/>
    <w:link w:val="DeletedPlaceholder"/>
    <w:uiPriority w:val="99"/>
    <w:locked/>
    <w:rsid w:val="009B61DD"/>
    <w:rPr>
      <w:rFonts w:ascii="Times New Roman" w:hAnsi="Times New Roman" w:cs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Normal"/>
    <w:next w:val="Normal"/>
    <w:link w:val="2"/>
    <w:uiPriority w:val="99"/>
    <w:rsid w:val="009B61DD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uiPriority w:val="99"/>
    <w:rsid w:val="009B61DD"/>
    <w:pPr>
      <w:spacing w:before="120" w:line="276" w:lineRule="auto"/>
      <w:ind w:firstLine="482"/>
      <w:jc w:val="both"/>
    </w:pPr>
  </w:style>
  <w:style w:type="character" w:customStyle="1" w:styleId="2">
    <w:name w:val="Цитата 2 Знак"/>
    <w:basedOn w:val="DefaultParagraphFont"/>
    <w:link w:val="Warning"/>
    <w:uiPriority w:val="99"/>
    <w:locked/>
    <w:rsid w:val="009B61DD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B61DD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B61DD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9B61DD"/>
    <w:rPr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9B61DD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9B6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99"/>
    <w:qFormat/>
    <w:rsid w:val="009B61DD"/>
    <w:rPr>
      <w:b/>
      <w:bCs/>
      <w:smallCaps/>
      <w:color w:val="auto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B61D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9B61DD"/>
    <w:pPr>
      <w:outlineLvl w:val="9"/>
    </w:pPr>
  </w:style>
  <w:style w:type="paragraph" w:styleId="DocumentMap">
    <w:name w:val="Document Map"/>
    <w:basedOn w:val="Normal"/>
    <w:link w:val="DocumentMapChar"/>
    <w:uiPriority w:val="99"/>
    <w:semiHidden/>
    <w:rsid w:val="009B6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B61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B61DD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B61DD"/>
    <w:rPr>
      <w:rFonts w:ascii="Times New Roman" w:hAnsi="Times New Roman" w:cs="Times New Roman"/>
      <w:sz w:val="16"/>
      <w:szCs w:val="16"/>
      <w:lang w:val="ru-RU"/>
    </w:rPr>
  </w:style>
  <w:style w:type="paragraph" w:styleId="Footer">
    <w:name w:val="footer"/>
    <w:basedOn w:val="Normal"/>
    <w:link w:val="FooterChar"/>
    <w:uiPriority w:val="99"/>
    <w:rsid w:val="009B61DD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B61DD"/>
    <w:rPr>
      <w:rFonts w:ascii="Times New Roman" w:hAnsi="Times New Roman" w:cs="Times New Roman"/>
      <w:sz w:val="16"/>
      <w:szCs w:val="16"/>
      <w:lang w:val="ru-RU"/>
    </w:rPr>
  </w:style>
  <w:style w:type="character" w:styleId="FootnoteReference">
    <w:name w:val="footnote reference"/>
    <w:basedOn w:val="DefaultParagraphFont"/>
    <w:uiPriority w:val="99"/>
    <w:semiHidden/>
    <w:rsid w:val="009B61D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B61DD"/>
    <w:pPr>
      <w:spacing w:line="216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E3CB7"/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uiPriority w:val="99"/>
    <w:rsid w:val="009B61DD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ListParagraph"/>
    <w:uiPriority w:val="99"/>
    <w:rsid w:val="009B61DD"/>
    <w:pPr>
      <w:spacing w:line="216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rsid w:val="007A2D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hyperlink" Target="https://online.consultant.ru/riv/cgi/online.cgi?ref=9D8161AA42813FF2C5CEF20345109A18045E915A4D486592BF0D91A3DD55F1698951AD87C989255BD5FAE994C40091654393C4422B6702763792395C7028D79F85801654dAREM" TargetMode="Externa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296</TotalTime>
  <Pages>10</Pages>
  <Words>1979</Words>
  <Characters>11283</Characters>
  <Application>Microsoft Office Outlook</Application>
  <DocSecurity>0</DocSecurity>
  <Lines>0</Lines>
  <Paragraphs>0</Paragraphs>
  <ScaleCrop>false</ScaleCrop>
  <Company>bpgu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 №_____</dc:title>
  <dc:subject/>
  <dc:creator>Vika Zagovor</dc:creator>
  <cp:keywords/>
  <dc:description>Консультант Плюс - Конструктор Договоров</dc:description>
  <cp:lastModifiedBy>Yulia Alexeevna</cp:lastModifiedBy>
  <cp:revision>27</cp:revision>
  <cp:lastPrinted>2019-04-19T08:45:00Z</cp:lastPrinted>
  <dcterms:created xsi:type="dcterms:W3CDTF">2019-01-02T13:41:00Z</dcterms:created>
  <dcterms:modified xsi:type="dcterms:W3CDTF">2019-04-19T09:09:00Z</dcterms:modified>
</cp:coreProperties>
</file>